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34F98" w14:textId="597145E6" w:rsidR="00196869" w:rsidRPr="0052548E" w:rsidRDefault="00196869" w:rsidP="0019686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4231204"/>
      <w:bookmarkStart w:id="3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C11EEB">
        <w:rPr>
          <w:rFonts w:ascii="Arial" w:hAnsi="Arial" w:cs="Arial"/>
          <w:b/>
          <w:bCs/>
          <w:sz w:val="28"/>
        </w:rPr>
        <w:t>109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C11EEB" w:rsidRPr="0059447D">
        <w:rPr>
          <w:rFonts w:ascii="Arial" w:hAnsi="Arial" w:cs="Arial"/>
          <w:b/>
          <w:bCs/>
          <w:sz w:val="28"/>
        </w:rPr>
        <w:t>2</w:t>
      </w:r>
      <w:r w:rsidR="00C11EEB">
        <w:rPr>
          <w:rFonts w:ascii="Arial" w:hAnsi="Arial" w:cs="Arial"/>
          <w:b/>
          <w:bCs/>
          <w:sz w:val="28"/>
        </w:rPr>
        <w:t>20</w:t>
      </w:r>
      <w:r w:rsidR="00F06BE2">
        <w:rPr>
          <w:rFonts w:ascii="Arial" w:hAnsi="Arial" w:cs="Arial"/>
          <w:b/>
          <w:bCs/>
          <w:sz w:val="28"/>
        </w:rPr>
        <w:t>3370</w:t>
      </w:r>
    </w:p>
    <w:p w14:paraId="2F60B3FD" w14:textId="4F639F56" w:rsidR="00786E72" w:rsidRDefault="00786E72" w:rsidP="00786E7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bookmarkStart w:id="4" w:name="_Hlk83761924"/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C11EEB">
        <w:rPr>
          <w:rFonts w:ascii="Arial" w:eastAsia="MS Mincho" w:hAnsi="Arial" w:cs="Arial"/>
          <w:b/>
          <w:bCs/>
          <w:sz w:val="28"/>
          <w:lang w:eastAsia="ja-JP"/>
        </w:rPr>
        <w:t>May 9</w:t>
      </w:r>
      <w:r w:rsidR="00C11E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11EEB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="00C11E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869C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bookmarkEnd w:id="1"/>
    <w:bookmarkEnd w:id="4"/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5FD137F3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F66461">
        <w:rPr>
          <w:rFonts w:cs="Arial"/>
          <w:b/>
          <w:bCs/>
          <w:sz w:val="24"/>
          <w:szCs w:val="24"/>
          <w:lang w:val="en-US"/>
        </w:rPr>
        <w:t>8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592AB0">
        <w:rPr>
          <w:rFonts w:cs="Arial"/>
          <w:b/>
          <w:bCs/>
          <w:sz w:val="24"/>
          <w:szCs w:val="24"/>
          <w:lang w:val="en-US"/>
        </w:rPr>
        <w:t>2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A865BE">
        <w:rPr>
          <w:rFonts w:cs="Arial"/>
          <w:b/>
          <w:bCs/>
          <w:sz w:val="24"/>
          <w:szCs w:val="24"/>
          <w:lang w:val="en-US"/>
        </w:rPr>
        <w:t>2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1920CEE" w14:textId="6B6CE651" w:rsidR="00A865BE" w:rsidRPr="00F76DA7" w:rsidRDefault="008F71D4" w:rsidP="00A865BE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9869C6">
        <w:rPr>
          <w:rFonts w:ascii="Arial" w:hAnsi="Arial" w:cs="Arial"/>
          <w:b/>
          <w:bCs/>
        </w:rPr>
        <w:t>Remaining issues for</w:t>
      </w:r>
      <w:r w:rsidR="0094768B">
        <w:rPr>
          <w:rFonts w:ascii="Arial" w:hAnsi="Arial" w:cs="Arial"/>
          <w:b/>
          <w:bCs/>
        </w:rPr>
        <w:t xml:space="preserve"> </w:t>
      </w:r>
      <w:r w:rsidR="00A865BE">
        <w:rPr>
          <w:rFonts w:ascii="Arial" w:hAnsi="Arial" w:cs="Arial"/>
          <w:b/>
          <w:bCs/>
        </w:rPr>
        <w:t>PDCCH monitoring enhancements</w:t>
      </w:r>
    </w:p>
    <w:p w14:paraId="5FF4E466" w14:textId="7777777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2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3"/>
    </w:p>
    <w:p w14:paraId="765FB366" w14:textId="473474D7" w:rsidR="007378C4" w:rsidRPr="00983ACF" w:rsidRDefault="007378C4" w:rsidP="007378C4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we discuss potential issues and associated standards impacts </w:t>
      </w:r>
      <w:r w:rsidR="00214E4F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</w:t>
      </w:r>
      <w:r w:rsidR="00CA6094">
        <w:rPr>
          <w:rFonts w:ascii="Arial" w:hAnsi="Arial" w:cs="Arial"/>
        </w:rPr>
        <w:t>PDCCH monitoring</w:t>
      </w:r>
      <w:r>
        <w:rPr>
          <w:rFonts w:ascii="Arial" w:hAnsi="Arial" w:cs="Arial"/>
        </w:rPr>
        <w:t xml:space="preserve"> for new SCSs in 52.6 </w:t>
      </w:r>
      <w:r w:rsidR="00375955">
        <w:rPr>
          <w:rFonts w:ascii="Arial" w:hAnsi="Arial" w:cs="Arial"/>
          <w:bCs/>
          <w:i/>
          <w:iCs/>
        </w:rPr>
        <w:t>–</w:t>
      </w:r>
      <w:r>
        <w:rPr>
          <w:rFonts w:ascii="Arial" w:hAnsi="Arial" w:cs="Arial"/>
        </w:rPr>
        <w:t xml:space="preserve"> </w:t>
      </w:r>
      <w:r w:rsidRPr="00983ACF">
        <w:rPr>
          <w:rFonts w:ascii="Arial" w:hAnsi="Arial" w:cs="Arial"/>
        </w:rPr>
        <w:t>71GHz.</w:t>
      </w:r>
    </w:p>
    <w:p w14:paraId="306B8965" w14:textId="55362A98" w:rsidR="00A71C98" w:rsidRPr="00794E4D" w:rsidRDefault="003E2D66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Discussions</w:t>
      </w:r>
    </w:p>
    <w:p w14:paraId="6178B0F3" w14:textId="66883E7C" w:rsidR="00B777BA" w:rsidRDefault="00B777BA" w:rsidP="00D6231E">
      <w:pPr>
        <w:spacing w:after="120" w:line="276" w:lineRule="auto"/>
        <w:jc w:val="both"/>
        <w:rPr>
          <w:rFonts w:ascii="Arial" w:hAnsi="Arial" w:cs="Arial"/>
          <w:bCs/>
        </w:rPr>
      </w:pPr>
    </w:p>
    <w:p w14:paraId="459C148F" w14:textId="2F3E0041" w:rsidR="00E620AB" w:rsidRPr="000C5F62" w:rsidRDefault="00E620AB" w:rsidP="00D6231E">
      <w:pPr>
        <w:spacing w:after="120" w:line="276" w:lineRule="auto"/>
        <w:jc w:val="both"/>
        <w:rPr>
          <w:rFonts w:ascii="Arial" w:hAnsi="Arial" w:cs="Arial"/>
          <w:b/>
          <w:u w:val="single"/>
        </w:rPr>
      </w:pPr>
      <w:r w:rsidRPr="000C5F62">
        <w:rPr>
          <w:rFonts w:ascii="Arial" w:hAnsi="Arial" w:cs="Arial"/>
          <w:b/>
          <w:u w:val="single"/>
        </w:rPr>
        <w:t>Handling of multiple applicable (</w:t>
      </w:r>
      <w:proofErr w:type="gramStart"/>
      <w:r w:rsidRPr="000C5F62">
        <w:rPr>
          <w:rFonts w:ascii="Arial" w:hAnsi="Arial" w:cs="Arial"/>
          <w:b/>
          <w:u w:val="single"/>
        </w:rPr>
        <w:t>X</w:t>
      </w:r>
      <w:r w:rsidRPr="000C5F62">
        <w:rPr>
          <w:rFonts w:ascii="Arial" w:hAnsi="Arial" w:cs="Arial"/>
          <w:b/>
          <w:u w:val="single"/>
          <w:vertAlign w:val="subscript"/>
        </w:rPr>
        <w:t>s</w:t>
      </w:r>
      <w:r w:rsidRPr="000C5F62">
        <w:rPr>
          <w:rFonts w:ascii="Arial" w:hAnsi="Arial" w:cs="Arial"/>
          <w:b/>
          <w:u w:val="single"/>
        </w:rPr>
        <w:t>,Y</w:t>
      </w:r>
      <w:r w:rsidRPr="000C5F62">
        <w:rPr>
          <w:rFonts w:ascii="Arial" w:hAnsi="Arial" w:cs="Arial"/>
          <w:b/>
          <w:u w:val="single"/>
          <w:vertAlign w:val="subscript"/>
        </w:rPr>
        <w:t>s</w:t>
      </w:r>
      <w:proofErr w:type="gramEnd"/>
      <w:r w:rsidRPr="000C5F62">
        <w:rPr>
          <w:rFonts w:ascii="Arial" w:hAnsi="Arial" w:cs="Arial"/>
          <w:b/>
          <w:u w:val="single"/>
        </w:rPr>
        <w:t>) combiantions</w:t>
      </w:r>
    </w:p>
    <w:p w14:paraId="5CB4C7D4" w14:textId="77777777" w:rsidR="00E620AB" w:rsidRDefault="00E620AB" w:rsidP="00D6231E">
      <w:pPr>
        <w:spacing w:after="120" w:line="276" w:lineRule="auto"/>
        <w:jc w:val="both"/>
        <w:rPr>
          <w:rFonts w:ascii="Arial" w:hAnsi="Arial" w:cs="Arial"/>
          <w:bCs/>
        </w:rPr>
      </w:pPr>
    </w:p>
    <w:p w14:paraId="5B0BD46E" w14:textId="2479D6E5" w:rsidR="00313BB8" w:rsidRDefault="00DF3DF1" w:rsidP="00D6231E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RAN1#</w:t>
      </w:r>
      <w:r w:rsidR="00C11EEB">
        <w:rPr>
          <w:rFonts w:ascii="Arial" w:hAnsi="Arial" w:cs="Arial"/>
          <w:bCs/>
        </w:rPr>
        <w:t>108</w:t>
      </w:r>
      <w:r>
        <w:rPr>
          <w:rFonts w:ascii="Arial" w:hAnsi="Arial" w:cs="Arial"/>
          <w:bCs/>
        </w:rPr>
        <w:t>-e [</w:t>
      </w:r>
      <w:r w:rsidR="0034578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], </w:t>
      </w:r>
      <w:r w:rsidR="00313BB8">
        <w:rPr>
          <w:rFonts w:ascii="Arial" w:hAnsi="Arial" w:cs="Arial"/>
          <w:bCs/>
        </w:rPr>
        <w:t>the following working assumption was made for handling multiple PDCCH monitoring capabilities</w:t>
      </w:r>
      <w:r w:rsidR="00E62589">
        <w:rPr>
          <w:rFonts w:ascii="Arial" w:hAnsi="Arial" w:cs="Arial"/>
          <w:bCs/>
        </w:rPr>
        <w:t xml:space="preserve"> because of </w:t>
      </w:r>
      <w:r w:rsidR="00E62589" w:rsidRPr="00E62589">
        <w:rPr>
          <w:rFonts w:ascii="Arial" w:hAnsi="Arial" w:cs="Arial"/>
          <w:bCs/>
        </w:rPr>
        <w:t xml:space="preserve">concerns on </w:t>
      </w:r>
      <w:r w:rsidR="00E62589">
        <w:rPr>
          <w:rFonts w:ascii="Arial" w:hAnsi="Arial" w:cs="Arial"/>
          <w:bCs/>
        </w:rPr>
        <w:t>selecting</w:t>
      </w:r>
      <w:r w:rsidR="00E62589" w:rsidRPr="00E62589">
        <w:rPr>
          <w:rFonts w:ascii="Arial" w:hAnsi="Arial" w:cs="Arial"/>
          <w:bCs/>
        </w:rPr>
        <w:t xml:space="preserve"> X</w:t>
      </w:r>
      <w:r w:rsidR="00E62589" w:rsidRPr="00F06BE2">
        <w:rPr>
          <w:rFonts w:ascii="Arial" w:hAnsi="Arial" w:cs="Arial"/>
          <w:bCs/>
          <w:vertAlign w:val="subscript"/>
        </w:rPr>
        <w:t>s</w:t>
      </w:r>
      <w:r w:rsidR="00E62589" w:rsidRPr="00E62589">
        <w:rPr>
          <w:rFonts w:ascii="Arial" w:hAnsi="Arial" w:cs="Arial"/>
          <w:bCs/>
        </w:rPr>
        <w:t xml:space="preserve"> </w:t>
      </w:r>
      <w:r w:rsidR="00E62589">
        <w:rPr>
          <w:rFonts w:ascii="Arial" w:hAnsi="Arial" w:cs="Arial"/>
          <w:bCs/>
        </w:rPr>
        <w:t>instead of</w:t>
      </w:r>
      <w:r w:rsidR="00E62589" w:rsidRPr="00E62589">
        <w:rPr>
          <w:rFonts w:ascii="Arial" w:hAnsi="Arial" w:cs="Arial"/>
          <w:bCs/>
        </w:rPr>
        <w:t xml:space="preserve"> a pair of (X</w:t>
      </w:r>
      <w:r w:rsidR="00E62589" w:rsidRPr="00F06BE2">
        <w:rPr>
          <w:rFonts w:ascii="Arial" w:hAnsi="Arial" w:cs="Arial"/>
          <w:bCs/>
          <w:vertAlign w:val="subscript"/>
        </w:rPr>
        <w:t>s</w:t>
      </w:r>
      <w:r w:rsidR="00E62589" w:rsidRPr="00E62589">
        <w:rPr>
          <w:rFonts w:ascii="Arial" w:hAnsi="Arial" w:cs="Arial"/>
          <w:bCs/>
        </w:rPr>
        <w:t>, Y</w:t>
      </w:r>
      <w:r w:rsidR="00E62589" w:rsidRPr="00F06BE2">
        <w:rPr>
          <w:rFonts w:ascii="Arial" w:hAnsi="Arial" w:cs="Arial"/>
          <w:bCs/>
          <w:vertAlign w:val="subscript"/>
        </w:rPr>
        <w:t>s</w:t>
      </w:r>
      <w:r w:rsidR="00E62589" w:rsidRPr="00E62589">
        <w:rPr>
          <w:rFonts w:ascii="Arial" w:hAnsi="Arial" w:cs="Arial"/>
          <w:bCs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13BB8" w14:paraId="1A86814F" w14:textId="77777777" w:rsidTr="00313BB8">
        <w:tc>
          <w:tcPr>
            <w:tcW w:w="9962" w:type="dxa"/>
          </w:tcPr>
          <w:p w14:paraId="4235BA3E" w14:textId="77777777" w:rsidR="00313BB8" w:rsidRPr="00F06BE2" w:rsidRDefault="00313BB8" w:rsidP="00313BB8">
            <w:pPr>
              <w:rPr>
                <w:rFonts w:ascii="Times New Roman" w:hAnsi="Times New Roman" w:cs="Times New Roman"/>
                <w:bCs/>
                <w:iCs/>
                <w:color w:val="FF0000"/>
                <w:szCs w:val="20"/>
              </w:rPr>
            </w:pPr>
            <w:r w:rsidRPr="00F06BE2">
              <w:rPr>
                <w:rFonts w:ascii="Times New Roman" w:hAnsi="Times New Roman" w:cs="Times New Roman"/>
                <w:b/>
                <w:szCs w:val="20"/>
                <w:highlight w:val="darkYellow"/>
                <w:u w:val="single"/>
              </w:rPr>
              <w:t>Working assumption</w:t>
            </w:r>
          </w:p>
          <w:p w14:paraId="2236C008" w14:textId="72A0D2D1" w:rsidR="00313BB8" w:rsidRPr="00F06BE2" w:rsidRDefault="00313BB8" w:rsidP="00313BB8">
            <w:pPr>
              <w:rPr>
                <w:rFonts w:ascii="Times New Roman" w:hAnsi="Times New Roman" w:cs="Times New Roman"/>
                <w:szCs w:val="20"/>
              </w:rPr>
            </w:pPr>
            <w:r w:rsidRPr="00F06BE2">
              <w:rPr>
                <w:rFonts w:ascii="Times New Roman" w:hAnsi="Times New Roman" w:cs="Times New Roman"/>
                <w:bCs/>
                <w:iCs/>
                <w:szCs w:val="20"/>
              </w:rPr>
              <w:t xml:space="preserve">For the purpose of BD/CCE budget determination for PDCCH monitoring for </w:t>
            </w:r>
            <m:oMath>
              <m:r>
                <w:rPr>
                  <w:rFonts w:ascii="Cambria Math" w:hAnsi="Cambria Math" w:cs="Times New Roman"/>
                  <w:szCs w:val="20"/>
                  <w:lang w:val="de-DE"/>
                </w:rPr>
                <m:t>μ</m:t>
              </m:r>
              <m:r>
                <w:rPr>
                  <w:rFonts w:ascii="Cambria Math" w:hAnsi="Cambria Math" w:cs="Times New Roman"/>
                  <w:szCs w:val="20"/>
                </w:rPr>
                <m:t>=6</m:t>
              </m:r>
            </m:oMath>
            <w:r w:rsidRPr="00F06BE2">
              <w:rPr>
                <w:rFonts w:ascii="Times New Roman" w:hAnsi="Times New Roman" w:cs="Times New Roman"/>
                <w:bCs/>
                <w:iCs/>
                <w:szCs w:val="20"/>
              </w:rPr>
              <w:t xml:space="preserve">, </w:t>
            </w:r>
            <w:r w:rsidRPr="00F06BE2">
              <w:rPr>
                <w:rFonts w:ascii="Times New Roman" w:hAnsi="Times New Roman" w:cs="Times New Roman"/>
                <w:szCs w:val="20"/>
              </w:rPr>
              <w:t xml:space="preserve">if more than one of the PDCCH monitoring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</w:rPr>
                    <m:t>(X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)</m:t>
              </m:r>
            </m:oMath>
            <w:r w:rsidRPr="00F06BE2">
              <w:rPr>
                <w:rFonts w:ascii="Times New Roman" w:hAnsi="Times New Roman" w:cs="Times New Roman"/>
                <w:szCs w:val="20"/>
              </w:rPr>
              <w:t xml:space="preserve"> capability combinations supported by a UE comply with all configured search space sets, then the UE selects X</w:t>
            </w:r>
            <w:r w:rsidRPr="00F06BE2">
              <w:rPr>
                <w:rFonts w:ascii="Times New Roman" w:hAnsi="Times New Roman" w:cs="Times New Roman"/>
                <w:szCs w:val="20"/>
                <w:vertAlign w:val="subscript"/>
              </w:rPr>
              <w:t>s</w:t>
            </w:r>
            <w:r w:rsidRPr="00F06BE2">
              <w:rPr>
                <w:rFonts w:ascii="Times New Roman" w:hAnsi="Times New Roman" w:cs="Times New Roman"/>
                <w:szCs w:val="20"/>
              </w:rPr>
              <w:t xml:space="preserve"> and thereby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szCs w:val="20"/>
                      <w:lang w:val="de-DE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Cs w:val="20"/>
                      <w:lang w:val="de-DE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</w:rPr>
                    <m:t>PDCCH</m:t>
                  </m:r>
                </m:sub>
                <m:sup>
                  <m:r>
                    <w:rPr>
                      <w:rFonts w:ascii="Cambria Math" w:hAnsi="Cambria Math" w:cs="Times New Roman"/>
                      <w:szCs w:val="20"/>
                      <w:lang w:val="de-DE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</w:rPr>
                    <m:t>,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szCs w:val="20"/>
                          <w:lang w:val="de-D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  <m:t>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  <m:t>s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</w:rPr>
                    <m:t>,</m:t>
                  </m:r>
                  <m:r>
                    <w:rPr>
                      <w:rFonts w:ascii="Cambria Math" w:hAnsi="Cambria Math" w:cs="Times New Roman"/>
                      <w:szCs w:val="20"/>
                      <w:lang w:val="de-DE"/>
                    </w:rPr>
                    <m:t>μ</m:t>
                  </m:r>
                </m:sup>
              </m:sSubSup>
            </m:oMath>
            <w:r w:rsidRPr="00F06BE2">
              <w:rPr>
                <w:rFonts w:ascii="Times New Roman" w:hAnsi="Times New Roman" w:cs="Times New Roman"/>
                <w:szCs w:val="20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szCs w:val="20"/>
                      <w:lang w:val="de-DE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Cs w:val="20"/>
                      <w:lang w:val="de-DE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</w:rPr>
                    <m:t>PDCCH</m:t>
                  </m:r>
                </m:sub>
                <m:sup>
                  <m:r>
                    <w:rPr>
                      <w:rFonts w:ascii="Cambria Math" w:hAnsi="Cambria Math" w:cs="Times New Roman"/>
                      <w:szCs w:val="20"/>
                      <w:lang w:val="de-DE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</w:rPr>
                    <m:t>,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szCs w:val="20"/>
                          <w:lang w:val="de-D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  <m:t>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  <m:t>s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</w:rPr>
                    <m:t>,</m:t>
                  </m:r>
                  <m:r>
                    <w:rPr>
                      <w:rFonts w:ascii="Cambria Math" w:hAnsi="Cambria Math" w:cs="Times New Roman"/>
                      <w:szCs w:val="20"/>
                      <w:lang w:val="de-DE"/>
                    </w:rPr>
                    <m:t>μ</m:t>
                  </m:r>
                </m:sup>
              </m:sSubSup>
            </m:oMath>
            <w:r w:rsidRPr="00F06BE2">
              <w:rPr>
                <w:rFonts w:ascii="Times New Roman" w:hAnsi="Times New Roman" w:cs="Times New Roman"/>
                <w:szCs w:val="20"/>
              </w:rPr>
              <w:t xml:space="preserve"> values corresponding to the complying combination with the largest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szCs w:val="20"/>
                      <w:lang w:val="de-DE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Cs w:val="20"/>
                      <w:lang w:val="de-DE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</w:rPr>
                    <m:t>PDCCH</m:t>
                  </m:r>
                </m:sub>
                <m:sup>
                  <m:r>
                    <w:rPr>
                      <w:rFonts w:ascii="Cambria Math" w:hAnsi="Cambria Math" w:cs="Times New Roman"/>
                      <w:szCs w:val="20"/>
                      <w:lang w:val="de-DE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</w:rPr>
                    <m:t>,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szCs w:val="20"/>
                          <w:lang w:val="de-D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  <m:t>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  <m:t>s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</w:rPr>
                    <m:t>,</m:t>
                  </m:r>
                  <m:r>
                    <w:rPr>
                      <w:rFonts w:ascii="Cambria Math" w:hAnsi="Cambria Math" w:cs="Times New Roman"/>
                      <w:szCs w:val="20"/>
                      <w:lang w:val="de-DE"/>
                    </w:rPr>
                    <m:t>μ</m:t>
                  </m:r>
                </m:sup>
              </m:sSubSup>
            </m:oMath>
            <w:r w:rsidRPr="00F06BE2">
              <w:rPr>
                <w:rFonts w:ascii="Times New Roman" w:hAnsi="Times New Roman" w:cs="Times New Roman"/>
                <w:szCs w:val="20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szCs w:val="20"/>
                      <w:lang w:val="de-DE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Cs w:val="20"/>
                      <w:lang w:val="de-DE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</w:rPr>
                    <m:t>PDCCH</m:t>
                  </m:r>
                </m:sub>
                <m:sup>
                  <m:r>
                    <w:rPr>
                      <w:rFonts w:ascii="Cambria Math" w:hAnsi="Cambria Math" w:cs="Times New Roman"/>
                      <w:szCs w:val="20"/>
                      <w:lang w:val="de-DE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</w:rPr>
                    <m:t>,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szCs w:val="20"/>
                          <w:lang w:val="de-D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  <m:t>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0"/>
                              <w:lang w:val="de-DE"/>
                            </w:rPr>
                            <m:t>s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</w:rPr>
                    <m:t>,</m:t>
                  </m:r>
                  <m:r>
                    <w:rPr>
                      <w:rFonts w:ascii="Cambria Math" w:hAnsi="Cambria Math" w:cs="Times New Roman"/>
                      <w:szCs w:val="20"/>
                      <w:lang w:val="de-DE"/>
                    </w:rPr>
                    <m:t>μ</m:t>
                  </m:r>
                </m:sup>
              </m:sSubSup>
            </m:oMath>
            <w:r w:rsidRPr="00F06BE2">
              <w:rPr>
                <w:rFonts w:ascii="Times New Roman" w:hAnsi="Times New Roman" w:cs="Times New Roman"/>
                <w:szCs w:val="20"/>
              </w:rPr>
              <w:t xml:space="preserve"> values.</w:t>
            </w:r>
          </w:p>
          <w:p w14:paraId="1F3049A8" w14:textId="1EC482CE" w:rsidR="00313BB8" w:rsidRPr="00F06BE2" w:rsidRDefault="00313BB8" w:rsidP="00F06BE2">
            <w:pPr>
              <w:rPr>
                <w:bCs/>
                <w:szCs w:val="20"/>
                <w:lang w:eastAsia="zh-CN"/>
              </w:rPr>
            </w:pPr>
            <w:r w:rsidRPr="00F06BE2">
              <w:rPr>
                <w:rFonts w:ascii="Times New Roman" w:hAnsi="Times New Roman" w:cs="Times New Roman"/>
                <w:bCs/>
                <w:iCs/>
                <w:szCs w:val="20"/>
              </w:rPr>
              <w:t xml:space="preserve">Note1: This determination of </w:t>
            </w:r>
            <w:r w:rsidRPr="00F06BE2">
              <w:rPr>
                <w:rFonts w:ascii="Times New Roman" w:hAnsi="Times New Roman" w:cs="Times New Roman"/>
                <w:szCs w:val="20"/>
              </w:rPr>
              <w:t>X</w:t>
            </w:r>
            <w:r w:rsidRPr="00F06BE2">
              <w:rPr>
                <w:rFonts w:ascii="Times New Roman" w:hAnsi="Times New Roman" w:cs="Times New Roman"/>
                <w:szCs w:val="20"/>
                <w:vertAlign w:val="subscript"/>
              </w:rPr>
              <w:t>s</w:t>
            </w:r>
            <w:r w:rsidRPr="00F06BE2">
              <w:rPr>
                <w:rFonts w:ascii="Times New Roman" w:eastAsia="Yu Mincho" w:hAnsi="Times New Roman" w:cs="Times New Roman"/>
                <w:bCs/>
                <w:iCs/>
                <w:szCs w:val="20"/>
              </w:rPr>
              <w:t xml:space="preserve"> may be independent of the size of </w:t>
            </w:r>
            <w:r w:rsidRPr="00F06BE2">
              <w:rPr>
                <w:rFonts w:ascii="Times New Roman" w:hAnsi="Times New Roman" w:cs="Times New Roman"/>
                <w:bCs/>
                <w:i/>
                <w:iCs/>
                <w:szCs w:val="20"/>
                <w:lang w:eastAsia="zh-CN"/>
              </w:rPr>
              <w:t>monitoringSlotsWithinSlotGroup</w:t>
            </w:r>
            <w:r w:rsidRPr="00F06BE2">
              <w:rPr>
                <w:rFonts w:ascii="Times New Roman" w:hAnsi="Times New Roman" w:cs="Times New Roman"/>
                <w:bCs/>
                <w:szCs w:val="20"/>
                <w:lang w:eastAsia="zh-CN"/>
              </w:rPr>
              <w:t xml:space="preserve"> discussed in the context of search space configuration</w:t>
            </w:r>
          </w:p>
        </w:tc>
      </w:tr>
    </w:tbl>
    <w:p w14:paraId="785D0932" w14:textId="2DCD14FE" w:rsidR="00313BB8" w:rsidRDefault="00313BB8" w:rsidP="00D6231E">
      <w:pPr>
        <w:spacing w:after="120" w:line="276" w:lineRule="auto"/>
        <w:jc w:val="both"/>
        <w:rPr>
          <w:rFonts w:ascii="Arial" w:hAnsi="Arial" w:cs="Arial"/>
          <w:bCs/>
        </w:rPr>
      </w:pPr>
    </w:p>
    <w:p w14:paraId="6B588FE1" w14:textId="2A76D0D7" w:rsidR="00E62589" w:rsidRDefault="00E62589" w:rsidP="00D6231E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[3], the following</w:t>
      </w:r>
      <w:r w:rsidR="008E0732">
        <w:rPr>
          <w:rFonts w:ascii="Arial" w:hAnsi="Arial" w:cs="Arial"/>
          <w:bCs/>
        </w:rPr>
        <w:t xml:space="preserve"> two tables are provided for determining maximum number </w:t>
      </w:r>
      <m:oMath>
        <m:sSubSup>
          <m:sSubSupPr>
            <m:ctrlPr>
              <w:rPr>
                <w:rFonts w:ascii="Cambria Math" w:hAnsi="Cambria Math" w:cs="Arial"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</w:rPr>
              <m:t>max,</m:t>
            </m:r>
            <m:d>
              <m:dPr>
                <m:ctrlPr>
                  <w:rPr>
                    <w:rFonts w:ascii="Cambria Math" w:hAnsi="Cambria Math" w:cs="Arial"/>
                    <w:bCs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X,Y</m:t>
                </m:r>
              </m:e>
            </m:d>
            <m:r>
              <m:rPr>
                <m:sty m:val="bi"/>
              </m:rPr>
              <w:rPr>
                <w:rFonts w:ascii="Cambria Math" w:hAnsi="Cambria Math" w:cs="Arial"/>
              </w:rPr>
              <m:t>,μ</m:t>
            </m:r>
          </m:sup>
        </m:sSubSup>
      </m:oMath>
      <w:r w:rsidR="008E0732" w:rsidRPr="008E0732">
        <w:rPr>
          <w:rFonts w:ascii="Arial" w:hAnsi="Arial" w:cs="Arial"/>
          <w:bCs/>
        </w:rPr>
        <w:t xml:space="preserve"> of monitored PDCCH candidates</w:t>
      </w:r>
      <w:r w:rsidR="008E0732">
        <w:rPr>
          <w:rFonts w:ascii="Arial" w:hAnsi="Arial" w:cs="Arial"/>
          <w:bCs/>
        </w:rPr>
        <w:t xml:space="preserve"> and m</w:t>
      </w:r>
      <w:r w:rsidR="008E0732" w:rsidRPr="008E0732">
        <w:rPr>
          <w:rFonts w:ascii="Arial" w:hAnsi="Arial" w:cs="Arial"/>
          <w:bCs/>
        </w:rPr>
        <w:t xml:space="preserve">aximum number </w:t>
      </w:r>
      <m:oMath>
        <m:sSubSup>
          <m:sSubSupPr>
            <m:ctrlPr>
              <w:rPr>
                <w:rFonts w:ascii="Cambria Math" w:hAnsi="Cambria Math" w:cs="Arial"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</w:rPr>
              <m:t>max,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hAnsi="Cambria Math" w:cs="Arial"/>
              </w:rPr>
              <m:t>,μ</m:t>
            </m:r>
          </m:sup>
        </m:sSubSup>
      </m:oMath>
      <w:r w:rsidR="008E0732" w:rsidRPr="008E0732">
        <w:rPr>
          <w:rFonts w:ascii="Arial" w:hAnsi="Arial" w:cs="Arial"/>
          <w:bCs/>
        </w:rPr>
        <w:t xml:space="preserve"> of monitored PDCCH candidates per group</w:t>
      </w:r>
      <w:r w:rsidR="008E0732">
        <w:rPr>
          <w:rFonts w:ascii="Arial" w:hAnsi="Arial" w:cs="Arial"/>
          <w:bCs/>
        </w:rPr>
        <w:t>.</w:t>
      </w:r>
    </w:p>
    <w:p w14:paraId="005B266D" w14:textId="77777777" w:rsidR="00E62589" w:rsidRPr="00B916EC" w:rsidRDefault="00E62589" w:rsidP="00E62589">
      <w:pPr>
        <w:pStyle w:val="TH"/>
      </w:pPr>
      <w:r>
        <w:lastRenderedPageBreak/>
        <w:t>Table 10.1-2A</w:t>
      </w:r>
      <w:r w:rsidRPr="00B916EC">
        <w:t xml:space="preserve">: </w:t>
      </w:r>
      <w:r>
        <w:t xml:space="preserve">Maximum number </w:t>
      </w:r>
      <m:oMath>
        <m:sSubSup>
          <m:sSubSupPr>
            <m:ctrlPr>
              <w:rPr>
                <w:rFonts w:ascii="Cambria Math" w:hAnsi="Cambria Math"/>
                <w:i/>
                <w:sz w:val="18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max,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X,Y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,μ</m:t>
            </m:r>
          </m:sup>
        </m:sSubSup>
      </m:oMath>
      <w:r>
        <w:t xml:space="preserve"> of monitored PDCCH candidates in a span for combination </w:t>
      </w:r>
      <m:oMath>
        <m:r>
          <m:rPr>
            <m:sty m:val="bi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  <w:lang w:eastAsia="zh-CN"/>
          </w:rPr>
          <m:t>X,Y)</m:t>
        </m:r>
      </m:oMath>
      <w:r>
        <w:t xml:space="preserve"> for a DL BWP with SCS configuration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0, 1</m:t>
            </m:r>
          </m:e>
        </m:d>
      </m:oMath>
      <w:r>
        <w:t xml:space="preserve"> for a single serving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541"/>
        <w:gridCol w:w="1530"/>
        <w:gridCol w:w="1620"/>
      </w:tblGrid>
      <w:tr w:rsidR="00E62589" w:rsidRPr="00B916EC" w14:paraId="6AA8CF5B" w14:textId="77777777" w:rsidTr="00F23CF2">
        <w:trPr>
          <w:cantSplit/>
          <w:jc w:val="center"/>
        </w:trPr>
        <w:tc>
          <w:tcPr>
            <w:tcW w:w="794" w:type="dxa"/>
            <w:shd w:val="clear" w:color="auto" w:fill="E0E0E0"/>
            <w:vAlign w:val="center"/>
          </w:tcPr>
          <w:p w14:paraId="43DDC730" w14:textId="77777777" w:rsidR="00E62589" w:rsidRPr="00B916EC" w:rsidRDefault="00E62589" w:rsidP="00F23CF2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4691" w:type="dxa"/>
            <w:gridSpan w:val="3"/>
            <w:shd w:val="clear" w:color="auto" w:fill="E0E0E0"/>
          </w:tcPr>
          <w:p w14:paraId="2E2F60FF" w14:textId="77777777" w:rsidR="00E62589" w:rsidRDefault="00E62589" w:rsidP="00F23CF2">
            <w:pPr>
              <w:pStyle w:val="TAH"/>
            </w:pPr>
            <w:r>
              <w:t xml:space="preserve">Maximum number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PDCCH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max,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X,Y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,μ</m:t>
                  </m:r>
                </m:sup>
              </m:sSubSup>
            </m:oMath>
            <w:r w:rsidRPr="00B916EC">
              <w:t xml:space="preserve"> of </w:t>
            </w:r>
            <w:r>
              <w:t>monitored PDCCH c</w:t>
            </w:r>
            <w:r w:rsidRPr="00B916EC">
              <w:t>andidates</w:t>
            </w:r>
            <w:r>
              <w:t xml:space="preserve"> per span for combination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X,Y</m:t>
                  </m:r>
                </m:e>
              </m:d>
            </m:oMath>
            <w:r>
              <w:rPr>
                <w:lang w:eastAsia="zh-CN"/>
              </w:rPr>
              <w:t xml:space="preserve"> </w:t>
            </w:r>
            <w:r>
              <w:t xml:space="preserve">and per serving cell </w:t>
            </w:r>
          </w:p>
        </w:tc>
      </w:tr>
      <w:tr w:rsidR="00E62589" w:rsidRPr="00B916EC" w14:paraId="18B8A94E" w14:textId="77777777" w:rsidTr="00F23CF2">
        <w:trPr>
          <w:cantSplit/>
          <w:jc w:val="center"/>
        </w:trPr>
        <w:tc>
          <w:tcPr>
            <w:tcW w:w="794" w:type="dxa"/>
            <w:shd w:val="clear" w:color="auto" w:fill="E0E0E0"/>
            <w:vAlign w:val="center"/>
          </w:tcPr>
          <w:p w14:paraId="6927C327" w14:textId="77777777" w:rsidR="00E62589" w:rsidRDefault="00E62589" w:rsidP="00F23CF2">
            <w:pPr>
              <w:pStyle w:val="TAC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μ</m:t>
                </m:r>
              </m:oMath>
            </m:oMathPara>
          </w:p>
        </w:tc>
        <w:tc>
          <w:tcPr>
            <w:tcW w:w="1541" w:type="dxa"/>
            <w:vAlign w:val="center"/>
          </w:tcPr>
          <w:p w14:paraId="35769AFE" w14:textId="77777777" w:rsidR="00E62589" w:rsidRPr="00B916EC" w:rsidRDefault="00E62589" w:rsidP="00F23CF2">
            <w:pPr>
              <w:pStyle w:val="TAC"/>
            </w:pPr>
            <w:r>
              <w:t>(2, 2)</w:t>
            </w:r>
          </w:p>
        </w:tc>
        <w:tc>
          <w:tcPr>
            <w:tcW w:w="1530" w:type="dxa"/>
          </w:tcPr>
          <w:p w14:paraId="2224C45D" w14:textId="77777777" w:rsidR="00E62589" w:rsidRPr="00B916EC" w:rsidRDefault="00E62589" w:rsidP="00F23CF2">
            <w:pPr>
              <w:pStyle w:val="TAC"/>
            </w:pPr>
            <w:r>
              <w:t>(4, 3)</w:t>
            </w:r>
          </w:p>
        </w:tc>
        <w:tc>
          <w:tcPr>
            <w:tcW w:w="1620" w:type="dxa"/>
          </w:tcPr>
          <w:p w14:paraId="778DDF33" w14:textId="77777777" w:rsidR="00E62589" w:rsidRPr="00B916EC" w:rsidRDefault="00E62589" w:rsidP="00F23CF2">
            <w:pPr>
              <w:pStyle w:val="TAC"/>
            </w:pPr>
            <w:r>
              <w:t>(7, 3)</w:t>
            </w:r>
          </w:p>
        </w:tc>
      </w:tr>
      <w:tr w:rsidR="00E62589" w:rsidRPr="00B916EC" w14:paraId="2486E1F2" w14:textId="77777777" w:rsidTr="00F23CF2">
        <w:trPr>
          <w:cantSplit/>
          <w:jc w:val="center"/>
        </w:trPr>
        <w:tc>
          <w:tcPr>
            <w:tcW w:w="794" w:type="dxa"/>
            <w:vAlign w:val="center"/>
          </w:tcPr>
          <w:p w14:paraId="7F43DFE3" w14:textId="77777777" w:rsidR="00E62589" w:rsidRPr="00B916EC" w:rsidRDefault="00E62589" w:rsidP="00F23CF2">
            <w:pPr>
              <w:pStyle w:val="TAC"/>
            </w:pPr>
            <w:r>
              <w:t>0</w:t>
            </w:r>
          </w:p>
        </w:tc>
        <w:tc>
          <w:tcPr>
            <w:tcW w:w="1541" w:type="dxa"/>
            <w:vAlign w:val="center"/>
          </w:tcPr>
          <w:p w14:paraId="69F0FD66" w14:textId="77777777" w:rsidR="00E62589" w:rsidRPr="00B916EC" w:rsidRDefault="00E62589" w:rsidP="00F23CF2">
            <w:pPr>
              <w:pStyle w:val="TAC"/>
            </w:pPr>
            <w:r>
              <w:t>14</w:t>
            </w:r>
          </w:p>
        </w:tc>
        <w:tc>
          <w:tcPr>
            <w:tcW w:w="1530" w:type="dxa"/>
          </w:tcPr>
          <w:p w14:paraId="5D362EA9" w14:textId="77777777" w:rsidR="00E62589" w:rsidRPr="00B916EC" w:rsidRDefault="00E62589" w:rsidP="00F23CF2">
            <w:pPr>
              <w:pStyle w:val="TAC"/>
            </w:pPr>
            <w:r>
              <w:t>28</w:t>
            </w:r>
          </w:p>
        </w:tc>
        <w:tc>
          <w:tcPr>
            <w:tcW w:w="1620" w:type="dxa"/>
          </w:tcPr>
          <w:p w14:paraId="02A8E5DC" w14:textId="77777777" w:rsidR="00E62589" w:rsidRPr="00B916EC" w:rsidRDefault="00E62589" w:rsidP="00F23CF2">
            <w:pPr>
              <w:pStyle w:val="TAC"/>
            </w:pPr>
            <w:r>
              <w:t>44</w:t>
            </w:r>
          </w:p>
        </w:tc>
      </w:tr>
      <w:tr w:rsidR="00E62589" w:rsidRPr="00B916EC" w14:paraId="4D786CC2" w14:textId="77777777" w:rsidTr="00F23CF2">
        <w:trPr>
          <w:cantSplit/>
          <w:jc w:val="center"/>
        </w:trPr>
        <w:tc>
          <w:tcPr>
            <w:tcW w:w="794" w:type="dxa"/>
            <w:vAlign w:val="center"/>
          </w:tcPr>
          <w:p w14:paraId="6596BD28" w14:textId="77777777" w:rsidR="00E62589" w:rsidRPr="00B916EC" w:rsidRDefault="00E62589" w:rsidP="00F23CF2">
            <w:pPr>
              <w:pStyle w:val="TAC"/>
            </w:pPr>
            <w:r>
              <w:t>1</w:t>
            </w:r>
          </w:p>
        </w:tc>
        <w:tc>
          <w:tcPr>
            <w:tcW w:w="1541" w:type="dxa"/>
            <w:vAlign w:val="center"/>
          </w:tcPr>
          <w:p w14:paraId="62E399DF" w14:textId="77777777" w:rsidR="00E62589" w:rsidRPr="00B916EC" w:rsidRDefault="00E62589" w:rsidP="00F23CF2">
            <w:pPr>
              <w:pStyle w:val="TAC"/>
            </w:pPr>
            <w:r>
              <w:t>12</w:t>
            </w:r>
          </w:p>
        </w:tc>
        <w:tc>
          <w:tcPr>
            <w:tcW w:w="1530" w:type="dxa"/>
          </w:tcPr>
          <w:p w14:paraId="5092E0E5" w14:textId="77777777" w:rsidR="00E62589" w:rsidRPr="00B916EC" w:rsidRDefault="00E62589" w:rsidP="00F23CF2">
            <w:pPr>
              <w:pStyle w:val="TAC"/>
            </w:pPr>
            <w:r>
              <w:t>24</w:t>
            </w:r>
          </w:p>
        </w:tc>
        <w:tc>
          <w:tcPr>
            <w:tcW w:w="1620" w:type="dxa"/>
          </w:tcPr>
          <w:p w14:paraId="2DCA85B6" w14:textId="77777777" w:rsidR="00E62589" w:rsidRPr="00B916EC" w:rsidRDefault="00E62589" w:rsidP="00F23CF2">
            <w:pPr>
              <w:pStyle w:val="TAC"/>
            </w:pPr>
            <w:r>
              <w:t>36</w:t>
            </w:r>
          </w:p>
        </w:tc>
      </w:tr>
    </w:tbl>
    <w:p w14:paraId="7753854F" w14:textId="3C4899B2" w:rsidR="00E62589" w:rsidRDefault="00E62589" w:rsidP="00D6231E">
      <w:pPr>
        <w:spacing w:after="120" w:line="276" w:lineRule="auto"/>
        <w:jc w:val="both"/>
        <w:rPr>
          <w:rFonts w:ascii="Arial" w:hAnsi="Arial" w:cs="Arial"/>
          <w:bCs/>
        </w:rPr>
      </w:pPr>
    </w:p>
    <w:p w14:paraId="6B71B43D" w14:textId="77777777" w:rsidR="00E62589" w:rsidRDefault="00E62589" w:rsidP="00E62589">
      <w:pPr>
        <w:pStyle w:val="TH"/>
      </w:pPr>
      <w:r>
        <w:t xml:space="preserve">Table 10.1-2B: </w:t>
      </w:r>
      <w:r w:rsidRPr="00815CA5">
        <w:t xml:space="preserve">Maximum number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,μ</m:t>
            </m:r>
          </m:sup>
        </m:sSubSup>
      </m:oMath>
      <w:r w:rsidRPr="00815CA5">
        <w:t xml:space="preserve"> of monitored PDCCH candidates per </w:t>
      </w:r>
      <w:r w:rsidRPr="00692576">
        <w:t xml:space="preserve">group </w:t>
      </w:r>
      <w:r w:rsidRPr="00815CA5">
        <w:t xml:space="preserve">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815CA5">
        <w:rPr>
          <w:lang w:eastAsia="zh-CN"/>
        </w:rPr>
        <w:t xml:space="preserve"> slots </w:t>
      </w:r>
      <w:r w:rsidRPr="00692576">
        <w:t xml:space="preserve">for combination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e>
        </m:d>
      </m:oMath>
      <w:r w:rsidRPr="00815CA5">
        <w:t xml:space="preserve"> for a DL BWP with SCS configuration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5, 6</m:t>
            </m:r>
          </m:e>
        </m:d>
      </m:oMath>
      <w:r w:rsidRPr="00815CA5">
        <w:t xml:space="preserve"> for a single serving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451"/>
        <w:gridCol w:w="1530"/>
        <w:gridCol w:w="1440"/>
        <w:gridCol w:w="1440"/>
      </w:tblGrid>
      <w:tr w:rsidR="00E62589" w:rsidRPr="00B27E56" w14:paraId="3B33F393" w14:textId="77777777" w:rsidTr="00F23CF2">
        <w:trPr>
          <w:cantSplit/>
          <w:jc w:val="center"/>
        </w:trPr>
        <w:tc>
          <w:tcPr>
            <w:tcW w:w="794" w:type="dxa"/>
            <w:shd w:val="clear" w:color="auto" w:fill="E0E0E0"/>
            <w:vAlign w:val="center"/>
          </w:tcPr>
          <w:p w14:paraId="041C8512" w14:textId="77777777" w:rsidR="00E62589" w:rsidRPr="00B27E56" w:rsidRDefault="00E62589" w:rsidP="00F23CF2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5861" w:type="dxa"/>
            <w:gridSpan w:val="4"/>
            <w:shd w:val="clear" w:color="auto" w:fill="E0E0E0"/>
            <w:vAlign w:val="center"/>
          </w:tcPr>
          <w:p w14:paraId="5529AF39" w14:textId="77777777" w:rsidR="00E62589" w:rsidRPr="00B27E56" w:rsidRDefault="00E62589" w:rsidP="00F23CF2">
            <w:pPr>
              <w:pStyle w:val="TH"/>
              <w:spacing w:before="0" w:after="0"/>
              <w:rPr>
                <w:sz w:val="18"/>
                <w:szCs w:val="18"/>
              </w:rPr>
            </w:pPr>
            <w:r w:rsidRPr="006509DC">
              <w:rPr>
                <w:sz w:val="18"/>
                <w:szCs w:val="18"/>
                <w:lang w:eastAsia="en-GB"/>
              </w:rPr>
              <w:t xml:space="preserve">Maximum number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M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PDCCH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max,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s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,μ</m:t>
                  </m:r>
                </m:sup>
              </m:sSubSup>
            </m:oMath>
            <w:r w:rsidRPr="006509DC">
              <w:rPr>
                <w:sz w:val="18"/>
                <w:szCs w:val="18"/>
                <w:lang w:eastAsia="zh-CN"/>
              </w:rPr>
              <w:t xml:space="preserve"> </w:t>
            </w:r>
            <w:r w:rsidRPr="006509DC">
              <w:rPr>
                <w:sz w:val="18"/>
                <w:szCs w:val="18"/>
                <w:lang w:eastAsia="en-GB"/>
              </w:rPr>
              <w:t xml:space="preserve">of monitored PDCCH candidates </w:t>
            </w:r>
            <w:r w:rsidRPr="006509DC">
              <w:rPr>
                <w:sz w:val="18"/>
                <w:szCs w:val="18"/>
              </w:rPr>
              <w:t xml:space="preserve">in a group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</m:t>
                  </m:r>
                </m:sub>
              </m:sSub>
            </m:oMath>
            <w:r w:rsidRPr="006509DC">
              <w:rPr>
                <w:sz w:val="18"/>
                <w:szCs w:val="18"/>
                <w:lang w:eastAsia="zh-CN"/>
              </w:rPr>
              <w:t xml:space="preserve"> slots</w:t>
            </w:r>
            <w:r w:rsidRPr="006509DC">
              <w:rPr>
                <w:sz w:val="18"/>
                <w:szCs w:val="18"/>
                <w:lang w:eastAsia="en-GB"/>
              </w:rPr>
              <w:t xml:space="preserve"> per combination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s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s</m:t>
                      </m:r>
                    </m:sub>
                  </m:sSub>
                </m:e>
              </m:d>
            </m:oMath>
            <w:r w:rsidRPr="006509DC">
              <w:rPr>
                <w:sz w:val="18"/>
                <w:szCs w:val="18"/>
                <w:lang w:eastAsia="en-GB"/>
              </w:rPr>
              <w:t xml:space="preserve"> and per serving cell </w:t>
            </w:r>
          </w:p>
        </w:tc>
      </w:tr>
      <w:tr w:rsidR="00E62589" w:rsidRPr="00B27E56" w14:paraId="5D783832" w14:textId="77777777" w:rsidTr="00F23CF2">
        <w:trPr>
          <w:cantSplit/>
          <w:jc w:val="center"/>
        </w:trPr>
        <w:tc>
          <w:tcPr>
            <w:tcW w:w="794" w:type="dxa"/>
            <w:shd w:val="clear" w:color="auto" w:fill="E0E0E0"/>
            <w:vAlign w:val="center"/>
          </w:tcPr>
          <w:p w14:paraId="53142E62" w14:textId="77777777" w:rsidR="00E62589" w:rsidRPr="00B27E56" w:rsidRDefault="00E62589" w:rsidP="00F23CF2">
            <w:pPr>
              <w:pStyle w:val="TAC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μ</m:t>
                </m:r>
              </m:oMath>
            </m:oMathPara>
          </w:p>
        </w:tc>
        <w:tc>
          <w:tcPr>
            <w:tcW w:w="1451" w:type="dxa"/>
            <w:vAlign w:val="center"/>
          </w:tcPr>
          <w:p w14:paraId="48445997" w14:textId="77777777" w:rsidR="00E62589" w:rsidRPr="00B27E56" w:rsidRDefault="00E62589" w:rsidP="00F23CF2">
            <w:pPr>
              <w:pStyle w:val="TAC"/>
            </w:pPr>
            <w:r w:rsidRPr="00B27E56">
              <w:t>(4, 1)</w:t>
            </w:r>
          </w:p>
        </w:tc>
        <w:tc>
          <w:tcPr>
            <w:tcW w:w="1530" w:type="dxa"/>
          </w:tcPr>
          <w:p w14:paraId="012DD698" w14:textId="77777777" w:rsidR="00E62589" w:rsidRPr="00B27E56" w:rsidRDefault="00E62589" w:rsidP="00F23CF2">
            <w:pPr>
              <w:pStyle w:val="TAC"/>
            </w:pPr>
            <w:r w:rsidRPr="00B27E56">
              <w:t>(4, 2)</w:t>
            </w:r>
          </w:p>
        </w:tc>
        <w:tc>
          <w:tcPr>
            <w:tcW w:w="1440" w:type="dxa"/>
          </w:tcPr>
          <w:p w14:paraId="568E2570" w14:textId="77777777" w:rsidR="00E62589" w:rsidRPr="00B27E56" w:rsidRDefault="00E62589" w:rsidP="00F23CF2">
            <w:pPr>
              <w:pStyle w:val="TAC"/>
            </w:pPr>
            <w:r w:rsidRPr="00B27E56">
              <w:t>(8, 1)</w:t>
            </w:r>
          </w:p>
        </w:tc>
        <w:tc>
          <w:tcPr>
            <w:tcW w:w="1440" w:type="dxa"/>
          </w:tcPr>
          <w:p w14:paraId="263F1793" w14:textId="77777777" w:rsidR="00E62589" w:rsidRPr="00B27E56" w:rsidRDefault="00E62589" w:rsidP="00F23CF2">
            <w:pPr>
              <w:pStyle w:val="TAC"/>
            </w:pPr>
            <w:r w:rsidRPr="00B27E56">
              <w:t>(8, 4)</w:t>
            </w:r>
          </w:p>
        </w:tc>
      </w:tr>
      <w:tr w:rsidR="00E62589" w:rsidRPr="00B27E56" w14:paraId="3B5BA1D5" w14:textId="77777777" w:rsidTr="00F23CF2">
        <w:trPr>
          <w:cantSplit/>
          <w:jc w:val="center"/>
        </w:trPr>
        <w:tc>
          <w:tcPr>
            <w:tcW w:w="794" w:type="dxa"/>
            <w:vAlign w:val="center"/>
          </w:tcPr>
          <w:p w14:paraId="6810AF2D" w14:textId="77777777" w:rsidR="00E62589" w:rsidRPr="00B27E56" w:rsidRDefault="00E62589" w:rsidP="00F23CF2">
            <w:pPr>
              <w:pStyle w:val="TAC"/>
            </w:pPr>
            <w:r w:rsidRPr="00B27E56">
              <w:t>5</w:t>
            </w:r>
          </w:p>
        </w:tc>
        <w:tc>
          <w:tcPr>
            <w:tcW w:w="1451" w:type="dxa"/>
            <w:vAlign w:val="center"/>
          </w:tcPr>
          <w:p w14:paraId="631D4975" w14:textId="77777777" w:rsidR="00E62589" w:rsidRPr="00B27E56" w:rsidRDefault="00E62589" w:rsidP="00F23CF2">
            <w:pPr>
              <w:pStyle w:val="TAC"/>
            </w:pPr>
            <w:r w:rsidRPr="00B27E56">
              <w:t>20</w:t>
            </w:r>
          </w:p>
        </w:tc>
        <w:tc>
          <w:tcPr>
            <w:tcW w:w="1530" w:type="dxa"/>
          </w:tcPr>
          <w:p w14:paraId="7597EDDC" w14:textId="77777777" w:rsidR="00E62589" w:rsidRPr="00B27E56" w:rsidRDefault="00E62589" w:rsidP="00F23CF2">
            <w:pPr>
              <w:pStyle w:val="TAC"/>
            </w:pPr>
            <w:r w:rsidRPr="00B27E56">
              <w:t>20</w:t>
            </w:r>
          </w:p>
        </w:tc>
        <w:tc>
          <w:tcPr>
            <w:tcW w:w="1440" w:type="dxa"/>
          </w:tcPr>
          <w:p w14:paraId="608D0163" w14:textId="77777777" w:rsidR="00E62589" w:rsidRPr="00B27E56" w:rsidRDefault="00E62589" w:rsidP="00F23CF2">
            <w:pPr>
              <w:pStyle w:val="TAC"/>
            </w:pPr>
            <w:r w:rsidRPr="00B27E56">
              <w:t>-</w:t>
            </w:r>
          </w:p>
        </w:tc>
        <w:tc>
          <w:tcPr>
            <w:tcW w:w="1440" w:type="dxa"/>
          </w:tcPr>
          <w:p w14:paraId="1C7B2588" w14:textId="77777777" w:rsidR="00E62589" w:rsidRPr="00B27E56" w:rsidRDefault="00E62589" w:rsidP="00F23CF2">
            <w:pPr>
              <w:pStyle w:val="TAC"/>
            </w:pPr>
            <w:r w:rsidRPr="00B27E56">
              <w:t>-</w:t>
            </w:r>
          </w:p>
        </w:tc>
      </w:tr>
      <w:tr w:rsidR="00E62589" w:rsidRPr="00B27E56" w14:paraId="3E771ED2" w14:textId="77777777" w:rsidTr="00F23CF2">
        <w:trPr>
          <w:cantSplit/>
          <w:jc w:val="center"/>
        </w:trPr>
        <w:tc>
          <w:tcPr>
            <w:tcW w:w="794" w:type="dxa"/>
            <w:vAlign w:val="center"/>
          </w:tcPr>
          <w:p w14:paraId="455C3089" w14:textId="77777777" w:rsidR="00E62589" w:rsidRPr="00B27E56" w:rsidRDefault="00E62589" w:rsidP="00F23CF2">
            <w:pPr>
              <w:pStyle w:val="TAC"/>
            </w:pPr>
            <w:r w:rsidRPr="00B27E56">
              <w:t>6</w:t>
            </w:r>
          </w:p>
        </w:tc>
        <w:tc>
          <w:tcPr>
            <w:tcW w:w="1451" w:type="dxa"/>
            <w:vAlign w:val="center"/>
          </w:tcPr>
          <w:p w14:paraId="7CBECE88" w14:textId="77777777" w:rsidR="00E62589" w:rsidRPr="00B27E56" w:rsidRDefault="00E62589" w:rsidP="00F23CF2">
            <w:pPr>
              <w:pStyle w:val="TAC"/>
            </w:pPr>
            <w:r w:rsidRPr="00B27E56">
              <w:t>10</w:t>
            </w:r>
          </w:p>
        </w:tc>
        <w:tc>
          <w:tcPr>
            <w:tcW w:w="1530" w:type="dxa"/>
          </w:tcPr>
          <w:p w14:paraId="3F0644A5" w14:textId="77777777" w:rsidR="00E62589" w:rsidRPr="00B27E56" w:rsidRDefault="00E62589" w:rsidP="00F23CF2">
            <w:pPr>
              <w:pStyle w:val="TAC"/>
            </w:pPr>
            <w:r w:rsidRPr="00B27E56">
              <w:t>10</w:t>
            </w:r>
          </w:p>
        </w:tc>
        <w:tc>
          <w:tcPr>
            <w:tcW w:w="1440" w:type="dxa"/>
          </w:tcPr>
          <w:p w14:paraId="6E8456EA" w14:textId="77777777" w:rsidR="00E62589" w:rsidRPr="00B27E56" w:rsidRDefault="00E62589" w:rsidP="00F23CF2">
            <w:pPr>
              <w:pStyle w:val="TAC"/>
            </w:pPr>
            <w:r w:rsidRPr="00B27E56">
              <w:t>20</w:t>
            </w:r>
          </w:p>
        </w:tc>
        <w:tc>
          <w:tcPr>
            <w:tcW w:w="1440" w:type="dxa"/>
          </w:tcPr>
          <w:p w14:paraId="66073B34" w14:textId="77777777" w:rsidR="00E62589" w:rsidRPr="00B27E56" w:rsidRDefault="00E62589" w:rsidP="00F23CF2">
            <w:pPr>
              <w:pStyle w:val="TAC"/>
            </w:pPr>
            <w:r w:rsidRPr="00B27E56">
              <w:t>20</w:t>
            </w:r>
          </w:p>
        </w:tc>
      </w:tr>
    </w:tbl>
    <w:p w14:paraId="43FB1D47" w14:textId="77777777" w:rsidR="008E0732" w:rsidRDefault="008E0732" w:rsidP="00D6231E">
      <w:pPr>
        <w:spacing w:after="120" w:line="276" w:lineRule="auto"/>
        <w:jc w:val="both"/>
      </w:pPr>
    </w:p>
    <w:p w14:paraId="483D1C41" w14:textId="1819931F" w:rsidR="00E62589" w:rsidRPr="00345789" w:rsidRDefault="008E0732" w:rsidP="00D6231E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In the above tables, although the notation for </w:t>
      </w:r>
      <m:oMath>
        <m:sSubSup>
          <m:sSubSupPr>
            <m:ctrlPr>
              <w:rPr>
                <w:rFonts w:ascii="Cambria Math" w:hAnsi="Cambria Math" w:cs="Arial"/>
                <w:b/>
                <w:bCs/>
                <w:i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  <w:lang w:val="en-GB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lang w:val="en-GB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lang w:val="en-GB"/>
              </w:rPr>
              <m:t>max,(</m:t>
            </m:r>
            <m:sSub>
              <m:sSubPr>
                <m:ctrlPr>
                  <w:rPr>
                    <w:rFonts w:ascii="Cambria Math" w:hAnsi="Cambria Math" w:cs="Arial"/>
                    <w:b/>
                    <w:bCs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lang w:val="en-GB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lang w:val="en-GB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hAnsi="Cambria Math" w:cs="Arial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 w:cs="Arial"/>
                    <w:b/>
                    <w:bCs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lang w:val="en-GB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lang w:val="en-GB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hAnsi="Cambria Math" w:cs="Arial"/>
                <w:lang w:val="en-GB"/>
              </w:rPr>
              <m:t>),μ</m:t>
            </m:r>
          </m:sup>
        </m:sSubSup>
      </m:oMath>
      <w:r w:rsidRPr="008E0732">
        <w:rPr>
          <w:rFonts w:ascii="Arial" w:hAnsi="Arial" w:cs="Arial"/>
          <w:bCs/>
        </w:rPr>
        <w:t xml:space="preserve"> and </w:t>
      </w:r>
      <m:oMath>
        <m:sSubSup>
          <m:sSubSupPr>
            <m:ctrlPr>
              <w:rPr>
                <w:rFonts w:ascii="Cambria Math" w:hAnsi="Cambria Math" w:cs="Arial"/>
                <w:b/>
                <w:bCs/>
                <w:i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  <w:lang w:val="en-GB"/>
              </w:rPr>
              <m:t>C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lang w:val="en-GB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lang w:val="en-GB"/>
              </w:rPr>
              <m:t>max,(</m:t>
            </m:r>
            <m:sSub>
              <m:sSubPr>
                <m:ctrlPr>
                  <w:rPr>
                    <w:rFonts w:ascii="Cambria Math" w:hAnsi="Cambria Math" w:cs="Arial"/>
                    <w:b/>
                    <w:bCs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lang w:val="en-GB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lang w:val="en-GB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hAnsi="Cambria Math" w:cs="Arial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 w:cs="Arial"/>
                    <w:b/>
                    <w:bCs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lang w:val="en-GB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lang w:val="en-GB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hAnsi="Cambria Math" w:cs="Arial"/>
                <w:lang w:val="en-GB"/>
              </w:rPr>
              <m:t>),μ</m:t>
            </m:r>
          </m:sup>
        </m:sSubSup>
      </m:oMath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lang w:val="en-GB"/>
        </w:rPr>
        <w:t>shows a dependence on (X</w:t>
      </w:r>
      <w:r w:rsidRPr="00F06BE2">
        <w:rPr>
          <w:rFonts w:ascii="Arial" w:hAnsi="Arial" w:cs="Arial"/>
          <w:vertAlign w:val="subscript"/>
          <w:lang w:val="en-GB"/>
        </w:rPr>
        <w:t>s</w:t>
      </w:r>
      <w:r>
        <w:rPr>
          <w:rFonts w:ascii="Arial" w:hAnsi="Arial" w:cs="Arial"/>
          <w:lang w:val="en-GB"/>
        </w:rPr>
        <w:t>,Y</w:t>
      </w:r>
      <w:r w:rsidRPr="00F06BE2">
        <w:rPr>
          <w:rFonts w:ascii="Arial" w:hAnsi="Arial" w:cs="Arial"/>
          <w:vertAlign w:val="subscript"/>
          <w:lang w:val="en-GB"/>
        </w:rPr>
        <w:t>s</w:t>
      </w:r>
      <w:r>
        <w:rPr>
          <w:rFonts w:ascii="Arial" w:hAnsi="Arial" w:cs="Arial"/>
          <w:lang w:val="en-GB"/>
        </w:rPr>
        <w:t>), the actual values of Y</w:t>
      </w:r>
      <w:r w:rsidRPr="00F06BE2">
        <w:rPr>
          <w:rFonts w:ascii="Arial" w:hAnsi="Arial" w:cs="Arial"/>
          <w:vertAlign w:val="subscript"/>
          <w:lang w:val="en-GB"/>
        </w:rPr>
        <w:t>s</w:t>
      </w:r>
      <w:r>
        <w:rPr>
          <w:rFonts w:ascii="Arial" w:hAnsi="Arial" w:cs="Arial"/>
          <w:lang w:val="en-GB"/>
        </w:rPr>
        <w:t xml:space="preserve"> are fixed for a given X</w:t>
      </w:r>
      <w:r w:rsidRPr="00F06BE2">
        <w:rPr>
          <w:rFonts w:ascii="Arial" w:hAnsi="Arial" w:cs="Arial"/>
          <w:vertAlign w:val="subscript"/>
          <w:lang w:val="en-GB"/>
        </w:rPr>
        <w:t>s</w:t>
      </w:r>
      <w:r>
        <w:rPr>
          <w:rFonts w:ascii="Arial" w:hAnsi="Arial" w:cs="Arial"/>
          <w:lang w:val="en-GB"/>
        </w:rPr>
        <w:t>. Having said that, it’s clear that the UE only needs to select only X</w:t>
      </w:r>
      <w:r w:rsidRPr="00F06BE2">
        <w:rPr>
          <w:rFonts w:ascii="Arial" w:hAnsi="Arial" w:cs="Arial"/>
          <w:vertAlign w:val="subscript"/>
          <w:lang w:val="en-GB"/>
        </w:rPr>
        <w:t>s</w:t>
      </w:r>
      <w:r>
        <w:rPr>
          <w:rFonts w:ascii="Arial" w:hAnsi="Arial" w:cs="Arial"/>
          <w:lang w:val="en-GB"/>
        </w:rPr>
        <w:t xml:space="preserve"> not a pair of (</w:t>
      </w:r>
      <w:proofErr w:type="gramStart"/>
      <w:r>
        <w:rPr>
          <w:rFonts w:ascii="Arial" w:hAnsi="Arial" w:cs="Arial"/>
          <w:lang w:val="en-GB"/>
        </w:rPr>
        <w:t>X</w:t>
      </w:r>
      <w:r w:rsidRPr="00F06BE2">
        <w:rPr>
          <w:rFonts w:ascii="Arial" w:hAnsi="Arial" w:cs="Arial"/>
          <w:vertAlign w:val="subscript"/>
          <w:lang w:val="en-GB"/>
        </w:rPr>
        <w:t>s</w:t>
      </w:r>
      <w:r>
        <w:rPr>
          <w:rFonts w:ascii="Arial" w:hAnsi="Arial" w:cs="Arial"/>
          <w:lang w:val="en-GB"/>
        </w:rPr>
        <w:t>,Y</w:t>
      </w:r>
      <w:r w:rsidRPr="00F06BE2">
        <w:rPr>
          <w:rFonts w:ascii="Arial" w:hAnsi="Arial" w:cs="Arial"/>
          <w:vertAlign w:val="subscript"/>
          <w:lang w:val="en-GB"/>
        </w:rPr>
        <w:t>s</w:t>
      </w:r>
      <w:proofErr w:type="gramEnd"/>
      <w:r>
        <w:rPr>
          <w:rFonts w:ascii="Arial" w:hAnsi="Arial" w:cs="Arial"/>
          <w:lang w:val="en-GB"/>
        </w:rPr>
        <w:t xml:space="preserve">) for determining BD/CCE budget for PDCCH monitoring. </w:t>
      </w:r>
    </w:p>
    <w:p w14:paraId="3B2C4DF4" w14:textId="77777777" w:rsidR="008E0732" w:rsidRDefault="008E0732" w:rsidP="008E0732">
      <w:pPr>
        <w:spacing w:after="120" w:line="276" w:lineRule="auto"/>
        <w:jc w:val="both"/>
        <w:rPr>
          <w:rFonts w:ascii="Arial" w:hAnsi="Arial" w:cs="Arial"/>
          <w:bCs/>
        </w:rPr>
      </w:pPr>
    </w:p>
    <w:p w14:paraId="2DB76115" w14:textId="1237D91F" w:rsidR="008E0732" w:rsidRDefault="008E0732" w:rsidP="008E0732">
      <w:pPr>
        <w:spacing w:after="120" w:line="276" w:lineRule="auto"/>
        <w:jc w:val="both"/>
        <w:rPr>
          <w:rFonts w:ascii="Arial" w:hAnsi="Arial" w:cs="Arial"/>
          <w:b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1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Confirm the working assumption on the </w:t>
      </w:r>
      <w:r w:rsidRPr="008E0732">
        <w:rPr>
          <w:rFonts w:ascii="Arial" w:hAnsi="Arial" w:cs="Arial"/>
          <w:bCs/>
          <w:i/>
          <w:iCs/>
        </w:rPr>
        <w:t xml:space="preserve">BD/CCE budget determination for PDCCH monitoring for </w:t>
      </w:r>
      <m:oMath>
        <m:r>
          <w:rPr>
            <w:rFonts w:ascii="Cambria Math" w:hAnsi="Cambria Math" w:cs="Arial"/>
            <w:lang w:val="de-DE"/>
          </w:rPr>
          <m:t>μ</m:t>
        </m:r>
        <m:r>
          <w:rPr>
            <w:rFonts w:ascii="Cambria Math" w:hAnsi="Cambria Math" w:cs="Arial"/>
          </w:rPr>
          <m:t>=6</m:t>
        </m:r>
      </m:oMath>
      <w:r>
        <w:rPr>
          <w:rFonts w:ascii="Arial" w:hAnsi="Arial" w:cs="Arial"/>
          <w:bCs/>
          <w:i/>
          <w:iCs/>
        </w:rPr>
        <w:t>.</w:t>
      </w:r>
    </w:p>
    <w:p w14:paraId="4F6B9022" w14:textId="77777777" w:rsidR="008E0732" w:rsidRDefault="008E0732" w:rsidP="00F37D40">
      <w:pPr>
        <w:spacing w:after="120" w:line="276" w:lineRule="auto"/>
        <w:jc w:val="both"/>
        <w:rPr>
          <w:rFonts w:ascii="Arial" w:hAnsi="Arial" w:cs="Arial"/>
          <w:bCs/>
        </w:rPr>
      </w:pPr>
    </w:p>
    <w:p w14:paraId="2A30C9D9" w14:textId="1571EAC4" w:rsidR="008E0732" w:rsidRPr="000C5F62" w:rsidRDefault="008E0732" w:rsidP="008E0732">
      <w:pPr>
        <w:spacing w:after="120" w:line="276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monitoringSlotsWithinSlotGroup-r17</w:t>
      </w:r>
    </w:p>
    <w:p w14:paraId="0D6D03A0" w14:textId="3F5A4E8D" w:rsidR="008E0732" w:rsidRDefault="008E0732" w:rsidP="00D6231E">
      <w:pPr>
        <w:spacing w:after="120" w:line="276" w:lineRule="auto"/>
        <w:jc w:val="both"/>
        <w:rPr>
          <w:rFonts w:ascii="Arial" w:hAnsi="Arial" w:cs="Arial"/>
          <w:bCs/>
        </w:rPr>
      </w:pPr>
    </w:p>
    <w:p w14:paraId="1A0D482E" w14:textId="3FE56D6E" w:rsidR="008E0732" w:rsidRDefault="008E0732" w:rsidP="008E0732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RAN1#108-e [</w:t>
      </w:r>
      <w:r w:rsidR="0034578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], the following working assumption was made for </w:t>
      </w:r>
      <w:r w:rsidRPr="00F06BE2">
        <w:rPr>
          <w:rFonts w:ascii="Arial" w:hAnsi="Arial" w:cs="Arial"/>
          <w:bCs/>
          <w:i/>
          <w:iCs/>
        </w:rPr>
        <w:t>monitoringSlotsWithinSlotGroup-r17</w:t>
      </w:r>
      <w:r w:rsidRPr="00E62589">
        <w:rPr>
          <w:rFonts w:ascii="Arial" w:hAnsi="Arial" w:cs="Arial"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E0732" w14:paraId="59231F33" w14:textId="77777777" w:rsidTr="008E0732">
        <w:tc>
          <w:tcPr>
            <w:tcW w:w="9962" w:type="dxa"/>
          </w:tcPr>
          <w:p w14:paraId="04BD7919" w14:textId="77777777" w:rsidR="008E0732" w:rsidRPr="00314C0F" w:rsidRDefault="008E0732" w:rsidP="008E0732">
            <w:pPr>
              <w:rPr>
                <w:b/>
              </w:rPr>
            </w:pPr>
            <w:r w:rsidRPr="00314C0F">
              <w:rPr>
                <w:rFonts w:eastAsia="Times New Roman"/>
                <w:b/>
                <w:highlight w:val="green"/>
              </w:rPr>
              <w:t>Agreement</w:t>
            </w:r>
          </w:p>
          <w:p w14:paraId="06E85638" w14:textId="7C42458E" w:rsidR="008E0732" w:rsidRPr="008657CF" w:rsidRDefault="008E0732" w:rsidP="00F06BE2">
            <w:pPr>
              <w:autoSpaceDE w:val="0"/>
              <w:autoSpaceDN w:val="0"/>
              <w:adjustRightInd w:val="0"/>
              <w:snapToGrid w:val="0"/>
              <w:spacing w:after="120"/>
            </w:pPr>
            <w:r>
              <w:rPr>
                <w:lang w:eastAsia="zh-CN"/>
              </w:rPr>
              <w:t>…</w:t>
            </w:r>
          </w:p>
          <w:p w14:paraId="1A404A6F" w14:textId="77777777" w:rsidR="008E0732" w:rsidRPr="00AF54EB" w:rsidRDefault="008E0732" w:rsidP="008E0732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snapToGrid w:val="0"/>
              <w:spacing w:after="120"/>
              <w:rPr>
                <w:color w:val="000000"/>
              </w:rPr>
            </w:pPr>
            <w:r w:rsidRPr="00AF54EB">
              <w:rPr>
                <w:color w:val="000000"/>
              </w:rPr>
              <w:t xml:space="preserve">Introduce new parameter </w:t>
            </w:r>
            <w:r w:rsidRPr="00AF54EB">
              <w:rPr>
                <w:i/>
                <w:iCs/>
                <w:color w:val="000000"/>
              </w:rPr>
              <w:t>monitoringSlotsWithinSlotGroup-r17</w:t>
            </w:r>
          </w:p>
          <w:p w14:paraId="2F743E9F" w14:textId="77777777" w:rsidR="008E0732" w:rsidRPr="00917CE2" w:rsidRDefault="008E0732" w:rsidP="008E0732">
            <w:pPr>
              <w:numPr>
                <w:ilvl w:val="1"/>
                <w:numId w:val="64"/>
              </w:numPr>
              <w:autoSpaceDE w:val="0"/>
              <w:autoSpaceDN w:val="0"/>
              <w:adjustRightInd w:val="0"/>
              <w:snapToGrid w:val="0"/>
              <w:spacing w:after="120"/>
              <w:rPr>
                <w:strike/>
                <w:color w:val="FF0000"/>
              </w:rPr>
            </w:pPr>
            <w:r w:rsidRPr="00917CE2">
              <w:rPr>
                <w:strike/>
                <w:color w:val="FF0000"/>
              </w:rPr>
              <w:t>Working assumption:</w:t>
            </w:r>
          </w:p>
          <w:p w14:paraId="19931961" w14:textId="77777777" w:rsidR="008E0732" w:rsidRPr="00917CE2" w:rsidRDefault="008E0732" w:rsidP="008E0732">
            <w:pPr>
              <w:numPr>
                <w:ilvl w:val="1"/>
                <w:numId w:val="64"/>
              </w:numPr>
              <w:autoSpaceDE w:val="0"/>
              <w:autoSpaceDN w:val="0"/>
              <w:adjustRightInd w:val="0"/>
              <w:snapToGrid w:val="0"/>
              <w:spacing w:after="120"/>
              <w:rPr>
                <w:color w:val="FF0000"/>
              </w:rPr>
            </w:pPr>
            <w:r w:rsidRPr="00917CE2">
              <w:rPr>
                <w:strike/>
                <w:color w:val="FF0000"/>
              </w:rPr>
              <w:t>The size is 8 bits</w:t>
            </w:r>
            <w:r w:rsidRPr="00917CE2">
              <w:rPr>
                <w:color w:val="FF0000"/>
              </w:rPr>
              <w:t>Two sizes L are supported for this parameter: L=4 bits and L=8 bits</w:t>
            </w:r>
          </w:p>
          <w:p w14:paraId="3B4159E2" w14:textId="77777777" w:rsidR="008E0732" w:rsidRPr="00917CE2" w:rsidRDefault="008E0732" w:rsidP="008E0732">
            <w:pPr>
              <w:numPr>
                <w:ilvl w:val="1"/>
                <w:numId w:val="64"/>
              </w:numPr>
              <w:autoSpaceDE w:val="0"/>
              <w:autoSpaceDN w:val="0"/>
              <w:adjustRightInd w:val="0"/>
              <w:snapToGrid w:val="0"/>
              <w:spacing w:after="120"/>
              <w:rPr>
                <w:color w:val="FF0000"/>
              </w:rPr>
            </w:pPr>
            <w:r w:rsidRPr="00AF54EB">
              <w:rPr>
                <w:color w:val="000000"/>
              </w:rPr>
              <w:t xml:space="preserve">Each bit in </w:t>
            </w:r>
            <w:r w:rsidRPr="00AF54EB">
              <w:rPr>
                <w:i/>
                <w:iCs/>
                <w:color w:val="000000"/>
              </w:rPr>
              <w:t>monitoringSlotsWithinSlotGroup-r17</w:t>
            </w:r>
            <w:r w:rsidRPr="00AF54EB">
              <w:rPr>
                <w:color w:val="000000"/>
              </w:rPr>
              <w:t xml:space="preserve"> represents a slot in a </w:t>
            </w:r>
            <w:r w:rsidRPr="00917CE2">
              <w:rPr>
                <w:strike/>
                <w:color w:val="FF0000"/>
              </w:rPr>
              <w:t>slot</w:t>
            </w:r>
            <w:r w:rsidRPr="00917CE2">
              <w:rPr>
                <w:color w:val="FF0000"/>
              </w:rPr>
              <w:t xml:space="preserve"> </w:t>
            </w:r>
            <w:r w:rsidRPr="00AF54EB">
              <w:rPr>
                <w:color w:val="000000"/>
              </w:rPr>
              <w:t>group</w:t>
            </w:r>
            <w:r w:rsidRPr="00917CE2">
              <w:rPr>
                <w:color w:val="FF0000"/>
              </w:rPr>
              <w:t xml:space="preserve"> of L slots</w:t>
            </w:r>
          </w:p>
          <w:p w14:paraId="5521FD0E" w14:textId="77777777" w:rsidR="008E0732" w:rsidRPr="00917CE2" w:rsidRDefault="008E0732" w:rsidP="008E0732">
            <w:pPr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color w:val="FF0000"/>
              </w:rPr>
            </w:pPr>
            <w:r w:rsidRPr="00917CE2">
              <w:rPr>
                <w:color w:val="FF0000"/>
              </w:rPr>
              <w:lastRenderedPageBreak/>
              <w:t xml:space="preserve">The parameter </w:t>
            </w:r>
            <w:r w:rsidRPr="00917CE2">
              <w:rPr>
                <w:i/>
                <w:iCs/>
                <w:color w:val="FF0000"/>
              </w:rPr>
              <w:t>monitoringSlotsWithinSlotGroup-r17</w:t>
            </w:r>
            <w:r w:rsidRPr="00917CE2">
              <w:rPr>
                <w:color w:val="FF0000"/>
              </w:rPr>
              <w:t xml:space="preserve"> is applied in each of the L slots as determined by </w:t>
            </w:r>
            <w:r w:rsidRPr="00917CE2">
              <w:rPr>
                <w:i/>
                <w:iCs/>
                <w:color w:val="FF0000"/>
              </w:rPr>
              <w:t>monitoringSlotPeriodicityAndOffset-r17</w:t>
            </w:r>
            <w:r w:rsidRPr="00917CE2">
              <w:rPr>
                <w:color w:val="FF0000"/>
              </w:rPr>
              <w:t xml:space="preserve"> and </w:t>
            </w:r>
            <w:r w:rsidRPr="00917CE2">
              <w:rPr>
                <w:i/>
                <w:iCs/>
                <w:color w:val="FF0000"/>
              </w:rPr>
              <w:t>duration-r17</w:t>
            </w:r>
            <w:r w:rsidRPr="00917CE2">
              <w:rPr>
                <w:color w:val="FF0000"/>
              </w:rPr>
              <w:t>.</w:t>
            </w:r>
          </w:p>
          <w:p w14:paraId="13F5E6A5" w14:textId="77777777" w:rsidR="008E0732" w:rsidRPr="00AF54EB" w:rsidRDefault="008E0732" w:rsidP="008E0732">
            <w:pPr>
              <w:numPr>
                <w:ilvl w:val="1"/>
                <w:numId w:val="64"/>
              </w:numPr>
              <w:autoSpaceDE w:val="0"/>
              <w:autoSpaceDN w:val="0"/>
              <w:adjustRightInd w:val="0"/>
              <w:snapToGrid w:val="0"/>
              <w:spacing w:after="120"/>
              <w:rPr>
                <w:color w:val="000000"/>
              </w:rPr>
            </w:pPr>
            <w:r w:rsidRPr="00AF54EB">
              <w:rPr>
                <w:color w:val="000000"/>
              </w:rPr>
              <w:t xml:space="preserve">A slot in </w:t>
            </w:r>
            <w:r w:rsidRPr="00A1057A">
              <w:rPr>
                <w:strike/>
                <w:color w:val="FF0000"/>
              </w:rPr>
              <w:t>the slot</w:t>
            </w:r>
            <w:r w:rsidRPr="00AF54EB">
              <w:rPr>
                <w:color w:val="000000"/>
              </w:rPr>
              <w:t xml:space="preserve"> </w:t>
            </w:r>
            <w:r>
              <w:rPr>
                <w:color w:val="FF0000"/>
              </w:rPr>
              <w:t xml:space="preserve">each </w:t>
            </w:r>
            <w:r w:rsidRPr="00AF54EB">
              <w:rPr>
                <w:color w:val="000000"/>
              </w:rPr>
              <w:t xml:space="preserve">group </w:t>
            </w:r>
            <w:r w:rsidRPr="00A1057A">
              <w:rPr>
                <w:color w:val="FF0000"/>
              </w:rPr>
              <w:t>of L slots</w:t>
            </w:r>
            <w:r w:rsidRPr="00AF54EB">
              <w:rPr>
                <w:color w:val="000000"/>
              </w:rPr>
              <w:t xml:space="preserve"> is configured for multi-slot PDCCH monitoring if the corresponding bit in </w:t>
            </w:r>
            <w:r w:rsidRPr="00A1057A">
              <w:rPr>
                <w:strike/>
                <w:color w:val="FF0000"/>
              </w:rPr>
              <w:t>the slot group</w:t>
            </w:r>
            <w:r w:rsidRPr="00AF54EB">
              <w:rPr>
                <w:color w:val="000000"/>
              </w:rPr>
              <w:t xml:space="preserve"> </w:t>
            </w:r>
            <w:r>
              <w:rPr>
                <w:i/>
                <w:iCs/>
                <w:color w:val="FF0000"/>
              </w:rPr>
              <w:t>monitoringSlotsWithinSlotGroup-r17</w:t>
            </w:r>
            <w:r w:rsidRPr="00A1057A">
              <w:rPr>
                <w:color w:val="FF0000"/>
              </w:rPr>
              <w:t xml:space="preserve"> </w:t>
            </w:r>
            <w:r w:rsidRPr="00AF54EB">
              <w:rPr>
                <w:color w:val="000000"/>
              </w:rPr>
              <w:t>is set to '1'</w:t>
            </w:r>
          </w:p>
          <w:p w14:paraId="5B9DF246" w14:textId="77777777" w:rsidR="008E0732" w:rsidRPr="00AF54EB" w:rsidRDefault="008E0732" w:rsidP="008E0732">
            <w:pPr>
              <w:numPr>
                <w:ilvl w:val="2"/>
                <w:numId w:val="64"/>
              </w:numPr>
              <w:autoSpaceDE w:val="0"/>
              <w:autoSpaceDN w:val="0"/>
              <w:adjustRightInd w:val="0"/>
              <w:snapToGrid w:val="0"/>
              <w:spacing w:after="120"/>
              <w:rPr>
                <w:color w:val="000000"/>
              </w:rPr>
            </w:pPr>
            <w:r w:rsidRPr="00AF54EB">
              <w:rPr>
                <w:color w:val="000000"/>
              </w:rPr>
              <w:t xml:space="preserve">Note: Further configuration of the monitoring symbols in such a slot is done by </w:t>
            </w:r>
            <w:r w:rsidRPr="00AF54EB">
              <w:rPr>
                <w:i/>
                <w:iCs/>
                <w:color w:val="000000"/>
              </w:rPr>
              <w:t>monitoringSymbolsWithinSlot</w:t>
            </w:r>
          </w:p>
          <w:p w14:paraId="55645952" w14:textId="77777777" w:rsidR="008E0732" w:rsidRPr="003A2AD5" w:rsidRDefault="008E0732" w:rsidP="008E0732">
            <w:pPr>
              <w:numPr>
                <w:ilvl w:val="1"/>
                <w:numId w:val="64"/>
              </w:numPr>
              <w:autoSpaceDE w:val="0"/>
              <w:autoSpaceDN w:val="0"/>
              <w:adjustRightInd w:val="0"/>
              <w:snapToGrid w:val="0"/>
              <w:spacing w:after="120"/>
              <w:rPr>
                <w:color w:val="FF0000"/>
              </w:rPr>
            </w:pPr>
            <w:r w:rsidRPr="003A2AD5">
              <w:rPr>
                <w:color w:val="FF0000"/>
              </w:rPr>
              <w:t>For Group (1) SS</w:t>
            </w:r>
            <w:r>
              <w:rPr>
                <w:color w:val="FF0000"/>
              </w:rPr>
              <w:t>s</w:t>
            </w:r>
          </w:p>
          <w:p w14:paraId="05C37C3B" w14:textId="77777777" w:rsidR="008E0732" w:rsidRPr="00A1057A" w:rsidRDefault="008E0732" w:rsidP="008E0732">
            <w:pPr>
              <w:numPr>
                <w:ilvl w:val="2"/>
                <w:numId w:val="64"/>
              </w:numPr>
              <w:autoSpaceDE w:val="0"/>
              <w:autoSpaceDN w:val="0"/>
              <w:adjustRightInd w:val="0"/>
              <w:snapToGrid w:val="0"/>
              <w:spacing w:after="120"/>
              <w:rPr>
                <w:color w:val="000000"/>
              </w:rPr>
            </w:pPr>
            <w:r w:rsidRPr="00AF54EB">
              <w:rPr>
                <w:color w:val="000000"/>
              </w:rPr>
              <w:t>The</w:t>
            </w:r>
            <w:r w:rsidRPr="00AF54EB">
              <w:rPr>
                <w:rFonts w:hint="eastAsia"/>
                <w:color w:val="000000"/>
              </w:rPr>
              <w:t xml:space="preserve"> </w:t>
            </w:r>
            <w:r w:rsidRPr="00AF54EB">
              <w:rPr>
                <w:color w:val="000000"/>
              </w:rPr>
              <w:t>slots indicated in the bitmap should be consecutive</w:t>
            </w:r>
            <w:r w:rsidRPr="008657CF">
              <w:t xml:space="preserve"> </w:t>
            </w:r>
            <w:r w:rsidRPr="00A1057A">
              <w:rPr>
                <w:color w:val="FF0000"/>
              </w:rPr>
              <w:t>per group of L slots</w:t>
            </w:r>
          </w:p>
          <w:p w14:paraId="378183F4" w14:textId="730427A6" w:rsidR="008E0732" w:rsidRPr="006709A7" w:rsidRDefault="008E0732" w:rsidP="008E0732">
            <w:pPr>
              <w:numPr>
                <w:ilvl w:val="2"/>
                <w:numId w:val="64"/>
              </w:numPr>
              <w:autoSpaceDE w:val="0"/>
              <w:autoSpaceDN w:val="0"/>
              <w:adjustRightInd w:val="0"/>
              <w:snapToGrid w:val="0"/>
              <w:spacing w:after="120"/>
              <w:rPr>
                <w:color w:val="FF0000"/>
              </w:rPr>
            </w:pPr>
            <w:r>
              <w:rPr>
                <w:color w:val="FF0000"/>
              </w:rPr>
              <w:t>T</w:t>
            </w:r>
            <w:r w:rsidRPr="00A1057A">
              <w:rPr>
                <w:bCs/>
                <w:color w:val="FF0000"/>
              </w:rPr>
              <w:t xml:space="preserve">he number of slots configured for </w:t>
            </w:r>
            <w:r w:rsidRPr="00A1057A">
              <w:rPr>
                <w:color w:val="FF0000"/>
              </w:rPr>
              <w:t>multi-slot PDCCH monitoring</w:t>
            </w:r>
            <w:r w:rsidRPr="00A1057A">
              <w:rPr>
                <w:bCs/>
                <w:color w:val="FF0000"/>
              </w:rPr>
              <w:t xml:space="preserve"> per slot group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</m:t>
                  </m:r>
                </m:sub>
              </m:sSub>
            </m:oMath>
            <w:r w:rsidRPr="00A1057A">
              <w:rPr>
                <w:bCs/>
                <w:color w:val="FF0000"/>
              </w:rPr>
              <w:t xml:space="preserve"> slots should be no larger than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</m:t>
                  </m:r>
                </m:sub>
              </m:sSub>
            </m:oMath>
            <w:r w:rsidRPr="00A1057A">
              <w:rPr>
                <w:bCs/>
                <w:color w:val="FF0000"/>
              </w:rPr>
              <w:t xml:space="preserve"> according to at least one of the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FF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s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,Y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s</m:t>
                      </m:r>
                    </m:sub>
                  </m:sSub>
                </m:e>
              </m:d>
            </m:oMath>
            <w:r w:rsidRPr="00A1057A">
              <w:rPr>
                <w:bCs/>
                <w:color w:val="FF0000"/>
              </w:rPr>
              <w:t xml:space="preserve"> supported by a UE</w:t>
            </w:r>
          </w:p>
          <w:p w14:paraId="7EAFFB08" w14:textId="77777777" w:rsidR="008E0732" w:rsidRPr="003A2AD5" w:rsidRDefault="008E0732" w:rsidP="008E0732">
            <w:pPr>
              <w:numPr>
                <w:ilvl w:val="1"/>
                <w:numId w:val="64"/>
              </w:numPr>
              <w:autoSpaceDE w:val="0"/>
              <w:autoSpaceDN w:val="0"/>
              <w:adjustRightInd w:val="0"/>
              <w:snapToGrid w:val="0"/>
              <w:spacing w:after="120"/>
              <w:rPr>
                <w:color w:val="FF0000"/>
              </w:rPr>
            </w:pPr>
            <w:r w:rsidRPr="005B0BCE">
              <w:rPr>
                <w:color w:val="FF0000"/>
                <w:highlight w:val="darkYellow"/>
              </w:rPr>
              <w:t>Working assumption</w:t>
            </w:r>
            <w:r>
              <w:rPr>
                <w:color w:val="FF0000"/>
              </w:rPr>
              <w:t xml:space="preserve">: </w:t>
            </w:r>
            <w:r w:rsidRPr="003A2AD5">
              <w:rPr>
                <w:color w:val="FF0000"/>
              </w:rPr>
              <w:t>For Group (</w:t>
            </w:r>
            <w:r>
              <w:rPr>
                <w:color w:val="FF0000"/>
              </w:rPr>
              <w:t>2</w:t>
            </w:r>
            <w:r w:rsidRPr="003A2AD5">
              <w:rPr>
                <w:color w:val="FF0000"/>
              </w:rPr>
              <w:t>) SS</w:t>
            </w:r>
            <w:r>
              <w:rPr>
                <w:color w:val="FF0000"/>
              </w:rPr>
              <w:t>s</w:t>
            </w:r>
          </w:p>
          <w:p w14:paraId="403E687A" w14:textId="77777777" w:rsidR="008E0732" w:rsidRPr="006709A7" w:rsidRDefault="008E0732" w:rsidP="008E0732">
            <w:pPr>
              <w:numPr>
                <w:ilvl w:val="2"/>
                <w:numId w:val="64"/>
              </w:numPr>
              <w:autoSpaceDE w:val="0"/>
              <w:autoSpaceDN w:val="0"/>
              <w:adjustRightInd w:val="0"/>
              <w:snapToGrid w:val="0"/>
              <w:spacing w:after="120"/>
              <w:rPr>
                <w:color w:val="FF0000"/>
              </w:rPr>
            </w:pPr>
            <w:r w:rsidRPr="006709A7">
              <w:rPr>
                <w:rFonts w:eastAsia="Times New Roman"/>
                <w:color w:val="FF0000"/>
              </w:rPr>
              <w:t>For Type0/0A/2 CSS</w:t>
            </w:r>
          </w:p>
          <w:p w14:paraId="353AF2DA" w14:textId="77777777" w:rsidR="008E0732" w:rsidRPr="006709A7" w:rsidRDefault="008E0732" w:rsidP="008E0732">
            <w:pPr>
              <w:numPr>
                <w:ilvl w:val="3"/>
                <w:numId w:val="6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color w:val="FF0000"/>
                <w:szCs w:val="20"/>
              </w:rPr>
            </w:pPr>
            <w:r w:rsidRPr="006709A7">
              <w:rPr>
                <w:color w:val="FF0000"/>
                <w:szCs w:val="20"/>
              </w:rPr>
              <w:t xml:space="preserve">The slots indicated in </w:t>
            </w:r>
            <w:r w:rsidRPr="006709A7">
              <w:rPr>
                <w:i/>
                <w:iCs/>
                <w:color w:val="FF0000"/>
                <w:szCs w:val="20"/>
              </w:rPr>
              <w:t>monitoringSlotsWithinSlotGroup-r17</w:t>
            </w:r>
            <w:r w:rsidRPr="006709A7">
              <w:rPr>
                <w:color w:val="FF0000"/>
                <w:szCs w:val="20"/>
              </w:rPr>
              <w:t xml:space="preserve"> are not restricted to be consecutive</w:t>
            </w:r>
          </w:p>
          <w:p w14:paraId="31836991" w14:textId="77777777" w:rsidR="008E0732" w:rsidRPr="006709A7" w:rsidRDefault="008E0732" w:rsidP="008E0732">
            <w:pPr>
              <w:numPr>
                <w:ilvl w:val="3"/>
                <w:numId w:val="6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color w:val="FF0000"/>
                <w:szCs w:val="20"/>
              </w:rPr>
            </w:pPr>
            <w:r w:rsidRPr="006709A7">
              <w:rPr>
                <w:color w:val="FF0000"/>
                <w:szCs w:val="20"/>
              </w:rPr>
              <w:t xml:space="preserve">The number of </w:t>
            </w:r>
            <w:r w:rsidRPr="006709A7">
              <w:rPr>
                <w:bCs/>
                <w:color w:val="FF0000"/>
              </w:rPr>
              <w:t xml:space="preserve">slots configured for </w:t>
            </w:r>
            <w:r w:rsidRPr="006709A7">
              <w:rPr>
                <w:color w:val="FF0000"/>
              </w:rPr>
              <w:t>multi-slot PDCCH monitoring</w:t>
            </w:r>
            <w:r w:rsidRPr="006709A7">
              <w:rPr>
                <w:color w:val="FF0000"/>
                <w:szCs w:val="20"/>
              </w:rPr>
              <w:t xml:space="preserve"> in </w:t>
            </w:r>
            <w:r w:rsidRPr="006709A7">
              <w:rPr>
                <w:i/>
                <w:iCs/>
                <w:color w:val="FF0000"/>
                <w:szCs w:val="20"/>
              </w:rPr>
              <w:t>monitoringSlotsWithinSlotGroup-r17</w:t>
            </w:r>
            <w:r w:rsidRPr="006709A7">
              <w:rPr>
                <w:bCs/>
                <w:color w:val="FF0000"/>
                <w:szCs w:val="20"/>
              </w:rPr>
              <w:t xml:space="preserve"> can be up </w:t>
            </w:r>
            <w:r w:rsidRPr="005B0BCE">
              <w:rPr>
                <w:bCs/>
                <w:color w:val="FF0000"/>
                <w:szCs w:val="20"/>
              </w:rPr>
              <w:t>to L</w:t>
            </w:r>
          </w:p>
          <w:p w14:paraId="1975A763" w14:textId="77777777" w:rsidR="008E0732" w:rsidRPr="006709A7" w:rsidRDefault="008E0732" w:rsidP="008E0732">
            <w:pPr>
              <w:numPr>
                <w:ilvl w:val="2"/>
                <w:numId w:val="6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color w:val="FF0000"/>
                <w:szCs w:val="20"/>
              </w:rPr>
            </w:pPr>
            <w:r w:rsidRPr="006709A7">
              <w:rPr>
                <w:rFonts w:eastAsia="Times New Roman"/>
                <w:color w:val="FF0000"/>
              </w:rPr>
              <w:t xml:space="preserve">For Type1 CSS without </w:t>
            </w:r>
            <w:r>
              <w:rPr>
                <w:rFonts w:eastAsia="Times New Roman"/>
                <w:color w:val="FF0000"/>
              </w:rPr>
              <w:t xml:space="preserve">dedicated </w:t>
            </w:r>
            <w:r w:rsidRPr="006709A7">
              <w:rPr>
                <w:rFonts w:eastAsia="Times New Roman"/>
                <w:color w:val="FF0000"/>
              </w:rPr>
              <w:t>RRC</w:t>
            </w:r>
          </w:p>
          <w:p w14:paraId="51A32DEC" w14:textId="189332BA" w:rsidR="008E0732" w:rsidRPr="006709A7" w:rsidRDefault="008E0732" w:rsidP="008E0732">
            <w:pPr>
              <w:numPr>
                <w:ilvl w:val="3"/>
                <w:numId w:val="6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textAlignment w:val="baseline"/>
              <w:rPr>
                <w:color w:val="FF0000"/>
                <w:szCs w:val="20"/>
              </w:rPr>
            </w:pPr>
            <w:r w:rsidRPr="006709A7">
              <w:rPr>
                <w:color w:val="FF0000"/>
                <w:szCs w:val="20"/>
              </w:rPr>
              <w:t xml:space="preserve">The number of </w:t>
            </w:r>
            <w:r w:rsidRPr="006709A7">
              <w:rPr>
                <w:bCs/>
                <w:color w:val="FF0000"/>
              </w:rPr>
              <w:t xml:space="preserve">slots configured for </w:t>
            </w:r>
            <w:r w:rsidRPr="006709A7">
              <w:rPr>
                <w:color w:val="FF0000"/>
              </w:rPr>
              <w:t>multi-slot PDCCH monitoring</w:t>
            </w:r>
            <w:r w:rsidRPr="006709A7">
              <w:rPr>
                <w:color w:val="FF0000"/>
                <w:szCs w:val="20"/>
              </w:rPr>
              <w:t xml:space="preserve"> in </w:t>
            </w:r>
            <w:r w:rsidRPr="006709A7">
              <w:rPr>
                <w:i/>
                <w:iCs/>
                <w:color w:val="FF0000"/>
                <w:szCs w:val="20"/>
              </w:rPr>
              <w:t>monitoringSlotsWithinSlotGroup-r17</w:t>
            </w:r>
            <w:r w:rsidRPr="006709A7">
              <w:rPr>
                <w:bCs/>
                <w:color w:val="FF0000"/>
                <w:szCs w:val="20"/>
              </w:rPr>
              <w:t xml:space="preserve"> </w:t>
            </w:r>
            <w:r w:rsidRPr="006709A7">
              <w:rPr>
                <w:bCs/>
                <w:color w:val="FF0000"/>
              </w:rPr>
              <w:t xml:space="preserve">per slot group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</m:t>
                  </m:r>
                </m:sub>
              </m:sSub>
            </m:oMath>
            <w:r w:rsidRPr="006709A7">
              <w:rPr>
                <w:bCs/>
                <w:color w:val="FF0000"/>
              </w:rPr>
              <w:t xml:space="preserve"> slots should be </w:t>
            </w:r>
            <w:r w:rsidRPr="00B12D30">
              <w:rPr>
                <w:bCs/>
                <w:color w:val="FF0000"/>
              </w:rPr>
              <w:t xml:space="preserve">no larger than </w:t>
            </w:r>
            <w:r w:rsidRPr="005B0BCE">
              <w:rPr>
                <w:bCs/>
                <w:color w:val="FF0000"/>
              </w:rPr>
              <w:t>M</w:t>
            </w:r>
            <w:r>
              <w:rPr>
                <w:bCs/>
                <w:color w:val="FF0000"/>
              </w:rPr>
              <w:t>, where M is FFS</w:t>
            </w:r>
          </w:p>
          <w:p w14:paraId="45D36053" w14:textId="77777777" w:rsidR="008E0732" w:rsidRDefault="008E0732" w:rsidP="008E0732">
            <w:p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5A768A94" w14:textId="50F59724" w:rsidR="008E0732" w:rsidRDefault="008E0732" w:rsidP="008E0732">
      <w:pPr>
        <w:spacing w:after="120" w:line="276" w:lineRule="auto"/>
        <w:jc w:val="both"/>
        <w:rPr>
          <w:rFonts w:ascii="Arial" w:hAnsi="Arial" w:cs="Arial"/>
          <w:bCs/>
        </w:rPr>
      </w:pPr>
    </w:p>
    <w:p w14:paraId="78B42E5F" w14:textId="4CC8379A" w:rsidR="00031C00" w:rsidRDefault="00031C00" w:rsidP="008E0732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 the discussion, the following two options were discussed for Group (2) SSs,</w:t>
      </w:r>
    </w:p>
    <w:p w14:paraId="3809FFDD" w14:textId="77777777" w:rsidR="00031C00" w:rsidRPr="00031C00" w:rsidRDefault="00031C00" w:rsidP="00F06BE2">
      <w:pPr>
        <w:numPr>
          <w:ilvl w:val="0"/>
          <w:numId w:val="64"/>
        </w:numPr>
        <w:spacing w:after="120" w:line="276" w:lineRule="auto"/>
        <w:jc w:val="both"/>
        <w:rPr>
          <w:rFonts w:ascii="Arial" w:hAnsi="Arial" w:cs="Arial"/>
          <w:bCs/>
        </w:rPr>
      </w:pPr>
      <w:r w:rsidRPr="00031C00">
        <w:rPr>
          <w:rFonts w:ascii="Arial" w:hAnsi="Arial" w:cs="Arial"/>
          <w:bCs/>
        </w:rPr>
        <w:t>Option 1</w:t>
      </w:r>
    </w:p>
    <w:p w14:paraId="72A990DB" w14:textId="77777777" w:rsidR="00031C00" w:rsidRPr="00031C00" w:rsidRDefault="00031C00" w:rsidP="00F06BE2">
      <w:pPr>
        <w:numPr>
          <w:ilvl w:val="1"/>
          <w:numId w:val="64"/>
        </w:numPr>
        <w:spacing w:after="120" w:line="276" w:lineRule="auto"/>
        <w:jc w:val="both"/>
        <w:rPr>
          <w:rFonts w:ascii="Arial" w:hAnsi="Arial" w:cs="Arial"/>
          <w:bCs/>
        </w:rPr>
      </w:pPr>
      <w:r w:rsidRPr="00031C00">
        <w:rPr>
          <w:rFonts w:ascii="Arial" w:hAnsi="Arial" w:cs="Arial"/>
          <w:bCs/>
        </w:rPr>
        <w:t>The configured periodicity is restricted to be an integer multiple of L slots</w:t>
      </w:r>
    </w:p>
    <w:p w14:paraId="6E271E03" w14:textId="77777777" w:rsidR="00031C00" w:rsidRPr="00031C00" w:rsidRDefault="00031C00" w:rsidP="00F06BE2">
      <w:pPr>
        <w:numPr>
          <w:ilvl w:val="1"/>
          <w:numId w:val="64"/>
        </w:numPr>
        <w:spacing w:after="120" w:line="276" w:lineRule="auto"/>
        <w:jc w:val="both"/>
        <w:rPr>
          <w:rFonts w:ascii="Arial" w:hAnsi="Arial" w:cs="Arial"/>
          <w:bCs/>
        </w:rPr>
      </w:pPr>
      <w:r w:rsidRPr="00031C00">
        <w:rPr>
          <w:rFonts w:ascii="Arial" w:hAnsi="Arial" w:cs="Arial"/>
          <w:bCs/>
        </w:rPr>
        <w:t>The configured offset is restricted to be an integer multiple of L slots</w:t>
      </w:r>
    </w:p>
    <w:p w14:paraId="6DB74E0D" w14:textId="77777777" w:rsidR="00031C00" w:rsidRPr="00031C00" w:rsidRDefault="00031C00" w:rsidP="00F06BE2">
      <w:pPr>
        <w:numPr>
          <w:ilvl w:val="1"/>
          <w:numId w:val="64"/>
        </w:numPr>
        <w:spacing w:after="120" w:line="276" w:lineRule="auto"/>
        <w:jc w:val="both"/>
        <w:rPr>
          <w:rFonts w:ascii="Arial" w:hAnsi="Arial" w:cs="Arial"/>
          <w:bCs/>
        </w:rPr>
      </w:pPr>
      <w:r w:rsidRPr="00031C00">
        <w:rPr>
          <w:rFonts w:ascii="Arial" w:hAnsi="Arial" w:cs="Arial"/>
          <w:bCs/>
        </w:rPr>
        <w:t xml:space="preserve">The slots indicated in </w:t>
      </w:r>
      <w:r w:rsidRPr="00031C00">
        <w:rPr>
          <w:rFonts w:ascii="Arial" w:hAnsi="Arial" w:cs="Arial"/>
          <w:bCs/>
          <w:i/>
          <w:iCs/>
        </w:rPr>
        <w:t>monitoringSlotsWithinSlotGroup-r17</w:t>
      </w:r>
      <w:r w:rsidRPr="00031C00">
        <w:rPr>
          <w:rFonts w:ascii="Arial" w:hAnsi="Arial" w:cs="Arial"/>
          <w:bCs/>
        </w:rPr>
        <w:t xml:space="preserve"> are not restricted to be consecutive for Group (2) SSs</w:t>
      </w:r>
    </w:p>
    <w:p w14:paraId="2C3A3765" w14:textId="77777777" w:rsidR="00031C00" w:rsidRPr="00031C00" w:rsidRDefault="00031C00" w:rsidP="00F06BE2">
      <w:pPr>
        <w:numPr>
          <w:ilvl w:val="1"/>
          <w:numId w:val="64"/>
        </w:numPr>
        <w:spacing w:after="120" w:line="276" w:lineRule="auto"/>
        <w:jc w:val="both"/>
        <w:rPr>
          <w:rFonts w:ascii="Arial" w:hAnsi="Arial" w:cs="Arial"/>
          <w:bCs/>
        </w:rPr>
      </w:pPr>
      <w:r w:rsidRPr="00031C00">
        <w:rPr>
          <w:rFonts w:ascii="Arial" w:hAnsi="Arial" w:cs="Arial"/>
          <w:bCs/>
        </w:rPr>
        <w:t xml:space="preserve">The number of 1s in </w:t>
      </w:r>
      <w:r w:rsidRPr="00031C00">
        <w:rPr>
          <w:rFonts w:ascii="Arial" w:hAnsi="Arial" w:cs="Arial"/>
          <w:bCs/>
          <w:i/>
          <w:iCs/>
        </w:rPr>
        <w:t>monitoringSlotsWithinSlotGroup-r17</w:t>
      </w:r>
      <w:r w:rsidRPr="00031C00">
        <w:rPr>
          <w:rFonts w:ascii="Arial" w:hAnsi="Arial" w:cs="Arial"/>
          <w:bCs/>
        </w:rPr>
        <w:t xml:space="preserve"> can be up to L for Group (2) SSs</w:t>
      </w:r>
    </w:p>
    <w:p w14:paraId="506BDC1B" w14:textId="77777777" w:rsidR="00031C00" w:rsidRPr="00031C00" w:rsidRDefault="00031C00" w:rsidP="00F06BE2">
      <w:pPr>
        <w:numPr>
          <w:ilvl w:val="0"/>
          <w:numId w:val="64"/>
        </w:numPr>
        <w:spacing w:after="120" w:line="276" w:lineRule="auto"/>
        <w:jc w:val="both"/>
        <w:rPr>
          <w:rFonts w:ascii="Arial" w:hAnsi="Arial" w:cs="Arial"/>
          <w:bCs/>
        </w:rPr>
      </w:pPr>
      <w:r w:rsidRPr="00031C00">
        <w:rPr>
          <w:rFonts w:ascii="Arial" w:hAnsi="Arial" w:cs="Arial"/>
          <w:bCs/>
        </w:rPr>
        <w:t>Option 2</w:t>
      </w:r>
    </w:p>
    <w:p w14:paraId="1DE0664A" w14:textId="2ED0CABE" w:rsidR="00031C00" w:rsidRPr="00F06BE2" w:rsidRDefault="00031C00" w:rsidP="00F06BE2">
      <w:pPr>
        <w:pStyle w:val="ListParagraph"/>
        <w:numPr>
          <w:ilvl w:val="1"/>
          <w:numId w:val="64"/>
        </w:numPr>
        <w:spacing w:after="120" w:line="276" w:lineRule="auto"/>
        <w:jc w:val="both"/>
        <w:rPr>
          <w:rFonts w:ascii="Arial" w:hAnsi="Arial" w:cs="Arial"/>
          <w:bCs/>
        </w:rPr>
      </w:pPr>
      <w:r w:rsidRPr="00F06BE2">
        <w:rPr>
          <w:rFonts w:ascii="Arial" w:hAnsi="Arial" w:cs="Arial"/>
          <w:bCs/>
        </w:rPr>
        <w:t>Restrictions for Group (2) SSs are as for Group (1) SSs</w:t>
      </w:r>
      <w:r>
        <w:rPr>
          <w:rFonts w:ascii="Arial" w:hAnsi="Arial" w:cs="Arial"/>
          <w:bCs/>
        </w:rPr>
        <w:t>.</w:t>
      </w:r>
    </w:p>
    <w:p w14:paraId="6AC9A78A" w14:textId="1AFEA115" w:rsidR="00031C00" w:rsidRDefault="00031C00" w:rsidP="00031C00">
      <w:pPr>
        <w:spacing w:after="120" w:line="276" w:lineRule="auto"/>
        <w:jc w:val="both"/>
        <w:rPr>
          <w:rFonts w:ascii="Arial" w:hAnsi="Arial" w:cs="Arial"/>
          <w:bCs/>
        </w:rPr>
      </w:pPr>
    </w:p>
    <w:p w14:paraId="4B789F39" w14:textId="34EC7D29" w:rsidR="00031C00" w:rsidRDefault="00031C00" w:rsidP="00031C00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While some companies believed that t</w:t>
      </w:r>
      <w:r w:rsidRPr="00031C00">
        <w:rPr>
          <w:rFonts w:ascii="Arial" w:hAnsi="Arial" w:cs="Arial"/>
          <w:bCs/>
        </w:rPr>
        <w:t xml:space="preserve">he </w:t>
      </w:r>
      <w:r>
        <w:rPr>
          <w:rFonts w:ascii="Arial" w:hAnsi="Arial" w:cs="Arial"/>
          <w:bCs/>
        </w:rPr>
        <w:t>configurations for Group (2) SSs</w:t>
      </w:r>
      <w:r w:rsidRPr="00031C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should </w:t>
      </w:r>
      <w:r w:rsidRPr="00031C00">
        <w:rPr>
          <w:rFonts w:ascii="Arial" w:hAnsi="Arial" w:cs="Arial"/>
          <w:bCs/>
        </w:rPr>
        <w:t xml:space="preserve">not </w:t>
      </w:r>
      <w:r>
        <w:rPr>
          <w:rFonts w:ascii="Arial" w:hAnsi="Arial" w:cs="Arial"/>
          <w:bCs/>
        </w:rPr>
        <w:t xml:space="preserve">be </w:t>
      </w:r>
      <w:r w:rsidRPr="00031C00">
        <w:rPr>
          <w:rFonts w:ascii="Arial" w:hAnsi="Arial" w:cs="Arial"/>
          <w:bCs/>
        </w:rPr>
        <w:t>restricted</w:t>
      </w:r>
      <w:r>
        <w:rPr>
          <w:rFonts w:ascii="Arial" w:hAnsi="Arial" w:cs="Arial"/>
          <w:bCs/>
        </w:rPr>
        <w:t xml:space="preserve"> to provide comparable flexibility with single slot PDCCH monitoring, some other companies believed that </w:t>
      </w:r>
      <w:r>
        <w:rPr>
          <w:rFonts w:ascii="Arial" w:hAnsi="Arial" w:cs="Arial"/>
          <w:bCs/>
        </w:rPr>
        <w:lastRenderedPageBreak/>
        <w:t xml:space="preserve">such flexible monitoring may increase serious UE implementation burden for PDCCH monitoring. Given the situation, a compromise has been proposed based on the following arguments. </w:t>
      </w:r>
    </w:p>
    <w:p w14:paraId="3576761A" w14:textId="7FB7D6D4" w:rsidR="00031C00" w:rsidRDefault="00031C00" w:rsidP="00345789">
      <w:pPr>
        <w:pStyle w:val="ListParagraph"/>
        <w:numPr>
          <w:ilvl w:val="0"/>
          <w:numId w:val="74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</w:t>
      </w:r>
      <w:r w:rsidRPr="00F06BE2">
        <w:rPr>
          <w:rFonts w:ascii="Arial" w:hAnsi="Arial" w:cs="Arial"/>
          <w:bCs/>
        </w:rPr>
        <w:t>Type0/0A/2 CSS</w:t>
      </w:r>
      <w:r>
        <w:rPr>
          <w:rFonts w:ascii="Arial" w:hAnsi="Arial" w:cs="Arial"/>
          <w:bCs/>
        </w:rPr>
        <w:t xml:space="preserve">, supporting flexible configurations is reasonable as UE needs to monitor SSs associated with a determined beam during initial access procedure. </w:t>
      </w:r>
    </w:p>
    <w:p w14:paraId="4AB96E8A" w14:textId="1324D8ED" w:rsidR="00031C00" w:rsidRPr="00F06BE2" w:rsidRDefault="00031C00" w:rsidP="00F06BE2">
      <w:pPr>
        <w:pStyle w:val="ListParagraph"/>
        <w:numPr>
          <w:ilvl w:val="0"/>
          <w:numId w:val="74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Type 1 CSS without dedicated RRC, supporting restrictions is reasonable as the UE needs to monitor all SSs.</w:t>
      </w:r>
    </w:p>
    <w:p w14:paraId="671F1761" w14:textId="5C6DE9B3" w:rsidR="00031C00" w:rsidRDefault="00345789" w:rsidP="00031C00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Having said that, we believe that the working assumption is a reasonable compromise between UE implementation complexity and gNB implementation flexibility and propose to confirm the working assumption. </w:t>
      </w:r>
    </w:p>
    <w:p w14:paraId="442E5394" w14:textId="77777777" w:rsidR="00031C00" w:rsidRDefault="00031C00" w:rsidP="00031C00">
      <w:pPr>
        <w:spacing w:after="120" w:line="276" w:lineRule="auto"/>
        <w:jc w:val="both"/>
        <w:rPr>
          <w:rFonts w:ascii="Arial" w:hAnsi="Arial" w:cs="Arial"/>
          <w:bCs/>
        </w:rPr>
      </w:pPr>
    </w:p>
    <w:p w14:paraId="06843C63" w14:textId="40682F4B" w:rsidR="008E0732" w:rsidRDefault="00345789" w:rsidP="00D6231E">
      <w:pPr>
        <w:spacing w:after="120" w:line="276" w:lineRule="auto"/>
        <w:jc w:val="both"/>
        <w:rPr>
          <w:rFonts w:ascii="Arial" w:hAnsi="Arial" w:cs="Arial"/>
          <w:b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2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Confirm the working assumption on </w:t>
      </w:r>
      <w:r w:rsidRPr="00345789">
        <w:rPr>
          <w:rFonts w:ascii="Arial" w:hAnsi="Arial" w:cs="Arial"/>
          <w:bCs/>
          <w:i/>
          <w:iCs/>
        </w:rPr>
        <w:t>monitoringSlotsWithinSlotGroup-r17</w:t>
      </w:r>
      <w:r>
        <w:rPr>
          <w:rFonts w:ascii="Arial" w:hAnsi="Arial" w:cs="Arial"/>
          <w:bCs/>
          <w:i/>
          <w:iCs/>
        </w:rPr>
        <w:t xml:space="preserve"> for Group (2) SSs.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21276BB4" w14:textId="605675EB" w:rsidR="00592AB0" w:rsidRDefault="00E652D4" w:rsidP="007F142E">
      <w:pPr>
        <w:jc w:val="both"/>
        <w:rPr>
          <w:rFonts w:ascii="Arial" w:hAnsi="Arial" w:cs="Arial"/>
        </w:rPr>
      </w:pPr>
      <w:r w:rsidRPr="003E37E3">
        <w:rPr>
          <w:rFonts w:ascii="Arial" w:hAnsi="Arial" w:cs="Arial"/>
        </w:rPr>
        <w:t xml:space="preserve">In this contribution, </w:t>
      </w:r>
      <w:r w:rsidR="00E96971" w:rsidRPr="003E37E3">
        <w:rPr>
          <w:rFonts w:ascii="Arial" w:hAnsi="Arial" w:cs="Arial"/>
        </w:rPr>
        <w:t xml:space="preserve">we discussed </w:t>
      </w:r>
      <w:r w:rsidR="00B22CAE" w:rsidRPr="003E37E3">
        <w:rPr>
          <w:rFonts w:ascii="Arial" w:hAnsi="Arial" w:cs="Arial"/>
        </w:rPr>
        <w:t>the</w:t>
      </w:r>
      <w:r w:rsidR="00E96971" w:rsidRPr="003E37E3">
        <w:rPr>
          <w:rFonts w:ascii="Arial" w:hAnsi="Arial" w:cs="Arial"/>
        </w:rPr>
        <w:t xml:space="preserve"> </w:t>
      </w:r>
      <w:r w:rsidR="00CE7811">
        <w:rPr>
          <w:rFonts w:ascii="Arial" w:hAnsi="Arial" w:cs="Arial"/>
        </w:rPr>
        <w:t xml:space="preserve">remaining </w:t>
      </w:r>
      <w:r w:rsidR="00E96971" w:rsidRPr="003E37E3">
        <w:rPr>
          <w:rFonts w:ascii="Arial" w:hAnsi="Arial" w:cs="Arial"/>
        </w:rPr>
        <w:t xml:space="preserve">issues </w:t>
      </w:r>
      <w:r w:rsidR="00A4353A">
        <w:rPr>
          <w:rFonts w:ascii="Arial" w:hAnsi="Arial" w:cs="Arial"/>
        </w:rPr>
        <w:t>for</w:t>
      </w:r>
      <w:r w:rsidR="00B22CAE" w:rsidRPr="003E37E3">
        <w:rPr>
          <w:rFonts w:ascii="Arial" w:hAnsi="Arial" w:cs="Arial"/>
        </w:rPr>
        <w:t xml:space="preserve"> </w:t>
      </w:r>
      <w:r w:rsidR="00A13DE4">
        <w:rPr>
          <w:rFonts w:ascii="Arial" w:hAnsi="Arial" w:cs="Arial"/>
        </w:rPr>
        <w:t>PDCCH monitoring</w:t>
      </w:r>
      <w:r w:rsidR="00B22CAE" w:rsidRPr="003E37E3">
        <w:rPr>
          <w:rFonts w:ascii="Arial" w:hAnsi="Arial" w:cs="Arial"/>
        </w:rPr>
        <w:t xml:space="preserve"> </w:t>
      </w:r>
      <w:r w:rsidR="00A4353A">
        <w:rPr>
          <w:rFonts w:ascii="Arial" w:hAnsi="Arial" w:cs="Arial"/>
        </w:rPr>
        <w:t>enhancements of NR in 52.6</w:t>
      </w:r>
      <w:r w:rsidR="00A4353A">
        <w:rPr>
          <w:rFonts w:ascii="Arial" w:hAnsi="Arial" w:cs="Arial"/>
          <w:bCs/>
          <w:i/>
          <w:iCs/>
        </w:rPr>
        <w:t xml:space="preserve"> – </w:t>
      </w:r>
      <w:r w:rsidR="00B22CAE" w:rsidRPr="003E37E3">
        <w:rPr>
          <w:rFonts w:ascii="Arial" w:hAnsi="Arial" w:cs="Arial"/>
        </w:rPr>
        <w:t>71 GHz</w:t>
      </w:r>
      <w:r w:rsidR="0023007C">
        <w:rPr>
          <w:rFonts w:ascii="Arial" w:hAnsi="Arial" w:cs="Arial"/>
        </w:rPr>
        <w:t xml:space="preserve">. From the discussions, </w:t>
      </w:r>
      <w:r w:rsidR="00592AB0" w:rsidRPr="00983ACF">
        <w:rPr>
          <w:rFonts w:ascii="Arial" w:hAnsi="Arial" w:cs="Arial"/>
        </w:rPr>
        <w:t xml:space="preserve">we </w:t>
      </w:r>
      <w:r w:rsidR="00592AB0">
        <w:rPr>
          <w:rFonts w:ascii="Arial" w:hAnsi="Arial" w:cs="Arial"/>
        </w:rPr>
        <w:t xml:space="preserve">made </w:t>
      </w:r>
      <w:r w:rsidR="00FF2FE3">
        <w:rPr>
          <w:rFonts w:ascii="Arial" w:hAnsi="Arial" w:cs="Arial"/>
        </w:rPr>
        <w:t xml:space="preserve">the </w:t>
      </w:r>
      <w:r w:rsidR="00592AB0" w:rsidRPr="00983ACF">
        <w:rPr>
          <w:rFonts w:ascii="Arial" w:hAnsi="Arial" w:cs="Arial"/>
        </w:rPr>
        <w:t>following</w:t>
      </w:r>
      <w:r w:rsidR="00592AB0">
        <w:rPr>
          <w:rFonts w:ascii="Arial" w:hAnsi="Arial" w:cs="Arial"/>
        </w:rPr>
        <w:t xml:space="preserve"> proposal</w:t>
      </w:r>
      <w:r w:rsidR="00E76D93">
        <w:rPr>
          <w:rFonts w:ascii="Arial" w:hAnsi="Arial" w:cs="Arial"/>
        </w:rPr>
        <w:t>s</w:t>
      </w:r>
      <w:r w:rsidR="00592AB0" w:rsidRPr="00983ACF">
        <w:rPr>
          <w:rFonts w:ascii="Arial" w:hAnsi="Arial" w:cs="Arial"/>
        </w:rPr>
        <w:t xml:space="preserve">: </w:t>
      </w:r>
    </w:p>
    <w:p w14:paraId="01CBD35B" w14:textId="51F17B2D" w:rsidR="00345789" w:rsidRDefault="00345789" w:rsidP="00345789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1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Confirm the working assumption on the </w:t>
      </w:r>
      <w:r w:rsidRPr="008E0732">
        <w:rPr>
          <w:rFonts w:ascii="Arial" w:hAnsi="Arial" w:cs="Arial"/>
          <w:bCs/>
          <w:i/>
          <w:iCs/>
        </w:rPr>
        <w:t xml:space="preserve">BD/CCE budget determination for PDCCH monitoring for </w:t>
      </w:r>
      <m:oMath>
        <m:r>
          <w:rPr>
            <w:rFonts w:ascii="Cambria Math" w:hAnsi="Cambria Math" w:cs="Arial"/>
            <w:lang w:val="de-DE"/>
          </w:rPr>
          <m:t>μ</m:t>
        </m:r>
        <m:r>
          <w:rPr>
            <w:rFonts w:ascii="Cambria Math" w:hAnsi="Cambria Math" w:cs="Arial"/>
          </w:rPr>
          <m:t>=6</m:t>
        </m:r>
      </m:oMath>
      <w:r>
        <w:rPr>
          <w:rFonts w:ascii="Arial" w:hAnsi="Arial" w:cs="Arial"/>
          <w:bCs/>
          <w:i/>
          <w:iCs/>
        </w:rPr>
        <w:t>.</w:t>
      </w:r>
    </w:p>
    <w:p w14:paraId="3F7533BA" w14:textId="77777777" w:rsidR="00345789" w:rsidRDefault="00345789" w:rsidP="00345789">
      <w:pPr>
        <w:spacing w:after="120" w:line="276" w:lineRule="auto"/>
        <w:jc w:val="both"/>
        <w:rPr>
          <w:rFonts w:ascii="Arial" w:hAnsi="Arial" w:cs="Arial"/>
          <w:b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2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Confirm the working assumption on </w:t>
      </w:r>
      <w:r w:rsidRPr="00345789">
        <w:rPr>
          <w:rFonts w:ascii="Arial" w:hAnsi="Arial" w:cs="Arial"/>
          <w:bCs/>
          <w:i/>
          <w:iCs/>
        </w:rPr>
        <w:t>monitoringSlotsWithinSlotGroup-r17</w:t>
      </w:r>
      <w:r>
        <w:rPr>
          <w:rFonts w:ascii="Arial" w:hAnsi="Arial" w:cs="Arial"/>
          <w:bCs/>
          <w:i/>
          <w:iCs/>
        </w:rPr>
        <w:t xml:space="preserve"> for Group (2) SSs.</w:t>
      </w:r>
    </w:p>
    <w:p w14:paraId="12348844" w14:textId="77777777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1FC5E768" w14:textId="7DB58D4E" w:rsidR="00347DD5" w:rsidRPr="000C5F62" w:rsidRDefault="009869C6" w:rsidP="009869C6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bookmarkStart w:id="5" w:name="_Ref521518965"/>
      <w:r w:rsidRPr="00755528">
        <w:rPr>
          <w:rFonts w:ascii="Arial" w:eastAsia="SimSun" w:hAnsi="Arial" w:cs="Arial"/>
          <w:color w:val="000000"/>
        </w:rPr>
        <w:t xml:space="preserve">“Final </w:t>
      </w:r>
      <w:r w:rsidRPr="00755528">
        <w:rPr>
          <w:rFonts w:ascii="Arial" w:hAnsi="Arial" w:cs="Arial"/>
        </w:rPr>
        <w:t>Report</w:t>
      </w:r>
      <w:r w:rsidRPr="00755528">
        <w:rPr>
          <w:rFonts w:ascii="Arial" w:eastAsia="SimSun" w:hAnsi="Arial" w:cs="Arial"/>
          <w:color w:val="000000"/>
        </w:rPr>
        <w:t xml:space="preserve"> of 3GPP TSG RAN WG1 #10</w:t>
      </w:r>
      <w:r w:rsidR="00345789">
        <w:rPr>
          <w:rFonts w:ascii="Arial" w:eastAsia="SimSun" w:hAnsi="Arial" w:cs="Arial"/>
          <w:color w:val="000000"/>
        </w:rPr>
        <w:t>8</w:t>
      </w:r>
      <w:r w:rsidRPr="00755528">
        <w:rPr>
          <w:rFonts w:ascii="Arial" w:eastAsia="SimSun" w:hAnsi="Arial" w:cs="Arial"/>
          <w:color w:val="000000"/>
        </w:rPr>
        <w:t>-e”, 3GPP RAN1 Meeting #10</w:t>
      </w:r>
      <w:r w:rsidR="00345789">
        <w:rPr>
          <w:rFonts w:ascii="Arial" w:eastAsia="SimSun" w:hAnsi="Arial" w:cs="Arial"/>
          <w:color w:val="000000"/>
        </w:rPr>
        <w:t>8</w:t>
      </w:r>
      <w:r w:rsidRPr="00755528">
        <w:rPr>
          <w:rFonts w:ascii="Arial" w:eastAsia="SimSun" w:hAnsi="Arial" w:cs="Arial"/>
          <w:color w:val="000000"/>
        </w:rPr>
        <w:t xml:space="preserve">-e, </w:t>
      </w:r>
      <w:r w:rsidRPr="00B360D6">
        <w:rPr>
          <w:rFonts w:ascii="Arial" w:eastAsia="SimSun" w:hAnsi="Arial" w:cs="Arial"/>
          <w:color w:val="000000"/>
        </w:rPr>
        <w:t xml:space="preserve">e-Meeting, </w:t>
      </w:r>
      <w:r w:rsidR="00345789">
        <w:rPr>
          <w:rFonts w:ascii="Arial" w:eastAsia="SimSun" w:hAnsi="Arial" w:cs="Arial"/>
          <w:color w:val="000000"/>
        </w:rPr>
        <w:t>February</w:t>
      </w:r>
      <w:r w:rsidR="00345789" w:rsidRPr="00B360D6">
        <w:rPr>
          <w:rFonts w:ascii="Arial" w:eastAsia="SimSun" w:hAnsi="Arial" w:cs="Arial"/>
          <w:color w:val="000000"/>
        </w:rPr>
        <w:t xml:space="preserve"> </w:t>
      </w:r>
      <w:r w:rsidR="00345789">
        <w:rPr>
          <w:rFonts w:ascii="Arial" w:eastAsia="SimSun" w:hAnsi="Arial" w:cs="Arial"/>
          <w:color w:val="000000"/>
        </w:rPr>
        <w:t>21</w:t>
      </w:r>
      <w:r w:rsidR="00345789">
        <w:rPr>
          <w:rFonts w:ascii="Arial" w:eastAsia="SimSun" w:hAnsi="Arial" w:cs="Arial"/>
          <w:color w:val="000000"/>
          <w:vertAlign w:val="superscript"/>
        </w:rPr>
        <w:t>st</w:t>
      </w:r>
      <w:r w:rsidRPr="00B360D6">
        <w:rPr>
          <w:rFonts w:ascii="Arial" w:eastAsia="SimSun" w:hAnsi="Arial" w:cs="Arial"/>
          <w:color w:val="000000"/>
        </w:rPr>
        <w:t xml:space="preserve"> – </w:t>
      </w:r>
      <w:r w:rsidR="00345789">
        <w:rPr>
          <w:rFonts w:ascii="Arial" w:eastAsia="SimSun" w:hAnsi="Arial" w:cs="Arial"/>
          <w:color w:val="000000"/>
        </w:rPr>
        <w:t>March 3</w:t>
      </w:r>
      <w:r w:rsidR="00345789" w:rsidRPr="00F06BE2">
        <w:rPr>
          <w:rFonts w:ascii="Arial" w:eastAsia="SimSun" w:hAnsi="Arial" w:cs="Arial"/>
          <w:color w:val="000000"/>
          <w:vertAlign w:val="superscript"/>
        </w:rPr>
        <w:t>rd</w:t>
      </w:r>
      <w:r w:rsidRPr="00B360D6">
        <w:rPr>
          <w:rFonts w:ascii="Arial" w:eastAsia="SimSun" w:hAnsi="Arial" w:cs="Arial"/>
          <w:color w:val="000000"/>
        </w:rPr>
        <w:t>, 202</w:t>
      </w:r>
      <w:r w:rsidR="00345789">
        <w:rPr>
          <w:rFonts w:ascii="Arial" w:eastAsia="SimSun" w:hAnsi="Arial" w:cs="Arial"/>
          <w:color w:val="000000"/>
        </w:rPr>
        <w:t>2</w:t>
      </w:r>
      <w:r w:rsidR="00347DD5">
        <w:rPr>
          <w:rFonts w:ascii="Arial" w:eastAsia="SimSun" w:hAnsi="Arial" w:cs="Arial"/>
          <w:color w:val="000000"/>
        </w:rPr>
        <w:t>,</w:t>
      </w:r>
      <w:r w:rsidR="00345789">
        <w:rPr>
          <w:rFonts w:ascii="Arial" w:eastAsia="SimSun" w:hAnsi="Arial" w:cs="Arial"/>
          <w:color w:val="000000"/>
        </w:rPr>
        <w:t xml:space="preserve"> </w:t>
      </w:r>
    </w:p>
    <w:p w14:paraId="3D5DC92C" w14:textId="7251AE1E" w:rsidR="009869C6" w:rsidRPr="007E3DAE" w:rsidRDefault="00E62589" w:rsidP="009869C6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8677D7">
        <w:rPr>
          <w:rFonts w:ascii="Arial" w:hAnsi="Arial" w:cs="Arial"/>
        </w:rPr>
        <w:t>3GPP TS 38.21</w:t>
      </w:r>
      <w:r>
        <w:rPr>
          <w:rFonts w:ascii="Arial" w:hAnsi="Arial" w:cs="Arial"/>
        </w:rPr>
        <w:t>3</w:t>
      </w:r>
      <w:r w:rsidRPr="008677D7">
        <w:rPr>
          <w:rFonts w:ascii="Arial" w:hAnsi="Arial" w:cs="Arial"/>
        </w:rPr>
        <w:t xml:space="preserve"> (v1</w:t>
      </w:r>
      <w:r>
        <w:rPr>
          <w:rFonts w:ascii="Arial" w:hAnsi="Arial" w:cs="Arial"/>
        </w:rPr>
        <w:t>7</w:t>
      </w:r>
      <w:r w:rsidRPr="008677D7">
        <w:rPr>
          <w:rFonts w:ascii="Arial" w:hAnsi="Arial" w:cs="Arial"/>
        </w:rPr>
        <w:t>.</w:t>
      </w:r>
      <w:r>
        <w:rPr>
          <w:rFonts w:ascii="Arial" w:hAnsi="Arial" w:cs="Arial"/>
        </w:rPr>
        <w:t>1</w:t>
      </w:r>
      <w:r w:rsidRPr="008677D7">
        <w:rPr>
          <w:rFonts w:ascii="Arial" w:hAnsi="Arial" w:cs="Arial"/>
        </w:rPr>
        <w:t>.0): “Physical layer procedures for data (Release 1</w:t>
      </w:r>
      <w:r>
        <w:rPr>
          <w:rFonts w:ascii="Arial" w:hAnsi="Arial" w:cs="Arial"/>
        </w:rPr>
        <w:t>7</w:t>
      </w:r>
      <w:r w:rsidRPr="008677D7">
        <w:rPr>
          <w:rFonts w:ascii="Arial" w:hAnsi="Arial" w:cs="Arial"/>
        </w:rPr>
        <w:t>)”.</w:t>
      </w:r>
    </w:p>
    <w:bookmarkEnd w:id="5"/>
    <w:p w14:paraId="5317BDDB" w14:textId="570522D8" w:rsidR="005F3E69" w:rsidRPr="00152A4E" w:rsidRDefault="005F3E69" w:rsidP="008E2517">
      <w:pPr>
        <w:rPr>
          <w:rFonts w:ascii="Arial" w:hAnsi="Arial" w:cs="Arial"/>
        </w:rPr>
      </w:pPr>
    </w:p>
    <w:sectPr w:rsidR="005F3E69" w:rsidRPr="00152A4E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3BAED" w14:textId="77777777" w:rsidR="00FB70CC" w:rsidRDefault="00FB70CC">
      <w:r>
        <w:separator/>
      </w:r>
    </w:p>
  </w:endnote>
  <w:endnote w:type="continuationSeparator" w:id="0">
    <w:p w14:paraId="3B73E677" w14:textId="77777777" w:rsidR="00FB70CC" w:rsidRDefault="00FB70CC">
      <w:r>
        <w:continuationSeparator/>
      </w:r>
    </w:p>
  </w:endnote>
  <w:endnote w:type="continuationNotice" w:id="1">
    <w:p w14:paraId="5AD1BAA9" w14:textId="77777777" w:rsidR="00FB70CC" w:rsidRDefault="00FB70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F1CDC" w14:textId="77777777" w:rsidR="00FB70CC" w:rsidRDefault="00FB70CC">
      <w:r>
        <w:separator/>
      </w:r>
    </w:p>
  </w:footnote>
  <w:footnote w:type="continuationSeparator" w:id="0">
    <w:p w14:paraId="40443BEF" w14:textId="77777777" w:rsidR="00FB70CC" w:rsidRDefault="00FB70CC">
      <w:r>
        <w:continuationSeparator/>
      </w:r>
    </w:p>
  </w:footnote>
  <w:footnote w:type="continuationNotice" w:id="1">
    <w:p w14:paraId="100616DD" w14:textId="77777777" w:rsidR="00FB70CC" w:rsidRDefault="00FB70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204D4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915A2F"/>
    <w:multiLevelType w:val="hybridMultilevel"/>
    <w:tmpl w:val="2B1AD66E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573FF"/>
    <w:multiLevelType w:val="hybridMultilevel"/>
    <w:tmpl w:val="BD7E14F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0655BB"/>
    <w:multiLevelType w:val="hybridMultilevel"/>
    <w:tmpl w:val="87707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0203F"/>
    <w:multiLevelType w:val="multilevel"/>
    <w:tmpl w:val="888A9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B725528"/>
    <w:multiLevelType w:val="hybridMultilevel"/>
    <w:tmpl w:val="6A8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C4E97"/>
    <w:multiLevelType w:val="hybridMultilevel"/>
    <w:tmpl w:val="7032C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1171CF"/>
    <w:multiLevelType w:val="multilevel"/>
    <w:tmpl w:val="C0C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D9963BF"/>
    <w:multiLevelType w:val="multilevel"/>
    <w:tmpl w:val="CCF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E231300"/>
    <w:multiLevelType w:val="hybridMultilevel"/>
    <w:tmpl w:val="93A21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D2FC7"/>
    <w:multiLevelType w:val="multilevel"/>
    <w:tmpl w:val="102D2FC7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F45305"/>
    <w:multiLevelType w:val="hybridMultilevel"/>
    <w:tmpl w:val="B9F226D8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0C560A"/>
    <w:multiLevelType w:val="multilevel"/>
    <w:tmpl w:val="130C560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1ABE1FC4"/>
    <w:multiLevelType w:val="multilevel"/>
    <w:tmpl w:val="C9A4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ACA789F"/>
    <w:multiLevelType w:val="hybridMultilevel"/>
    <w:tmpl w:val="70AAC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287130B8"/>
    <w:multiLevelType w:val="multilevel"/>
    <w:tmpl w:val="9A3C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CE226BA"/>
    <w:multiLevelType w:val="hybridMultilevel"/>
    <w:tmpl w:val="ED30D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BE0929"/>
    <w:multiLevelType w:val="multilevel"/>
    <w:tmpl w:val="31BE09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5249A"/>
    <w:multiLevelType w:val="multilevel"/>
    <w:tmpl w:val="A934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44214F1"/>
    <w:multiLevelType w:val="multilevel"/>
    <w:tmpl w:val="504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5F95E11"/>
    <w:multiLevelType w:val="hybridMultilevel"/>
    <w:tmpl w:val="1A744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F600690"/>
    <w:multiLevelType w:val="multilevel"/>
    <w:tmpl w:val="3F600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EC5FCA"/>
    <w:multiLevelType w:val="hybridMultilevel"/>
    <w:tmpl w:val="3CB2C33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5440918"/>
    <w:multiLevelType w:val="hybridMultilevel"/>
    <w:tmpl w:val="FBDCD85C"/>
    <w:lvl w:ilvl="0" w:tplc="E4B81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EC2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1CD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6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66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0B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48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6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F6D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859360F"/>
    <w:multiLevelType w:val="hybridMultilevel"/>
    <w:tmpl w:val="5AD88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767F2E"/>
    <w:multiLevelType w:val="multilevel"/>
    <w:tmpl w:val="C530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E0C5A77"/>
    <w:multiLevelType w:val="hybridMultilevel"/>
    <w:tmpl w:val="B2A4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D1737F"/>
    <w:multiLevelType w:val="multilevel"/>
    <w:tmpl w:val="4ED173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7679AE"/>
    <w:multiLevelType w:val="multilevel"/>
    <w:tmpl w:val="50767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2CA544A"/>
    <w:multiLevelType w:val="multi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3" w15:restartNumberingAfterBreak="0">
    <w:nsid w:val="54A1732B"/>
    <w:multiLevelType w:val="multilevel"/>
    <w:tmpl w:val="54A173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8E3EB7"/>
    <w:multiLevelType w:val="multilevel"/>
    <w:tmpl w:val="7E6E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2B0CA2"/>
    <w:multiLevelType w:val="multilevel"/>
    <w:tmpl w:val="45BA6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5BA34F38"/>
    <w:multiLevelType w:val="multilevel"/>
    <w:tmpl w:val="5BA34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C560E3"/>
    <w:multiLevelType w:val="hybridMultilevel"/>
    <w:tmpl w:val="7992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934474"/>
    <w:multiLevelType w:val="multilevel"/>
    <w:tmpl w:val="AA9A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B503A4A"/>
    <w:multiLevelType w:val="hybridMultilevel"/>
    <w:tmpl w:val="EE0605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834F91"/>
    <w:multiLevelType w:val="hybridMultilevel"/>
    <w:tmpl w:val="73F2A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800E33"/>
    <w:multiLevelType w:val="multilevel"/>
    <w:tmpl w:val="3F600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44A192E"/>
    <w:multiLevelType w:val="hybridMultilevel"/>
    <w:tmpl w:val="723A8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514DDA"/>
    <w:multiLevelType w:val="hybridMultilevel"/>
    <w:tmpl w:val="D50A6A00"/>
    <w:lvl w:ilvl="0" w:tplc="04090001">
      <w:start w:val="1"/>
      <w:numFmt w:val="bullet"/>
      <w:lvlText w:val=""/>
      <w:lvlJc w:val="left"/>
      <w:pPr>
        <w:ind w:left="105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77B66071"/>
    <w:multiLevelType w:val="multilevel"/>
    <w:tmpl w:val="77B660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E65021"/>
    <w:multiLevelType w:val="multilevel"/>
    <w:tmpl w:val="9822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7A266012"/>
    <w:multiLevelType w:val="hybridMultilevel"/>
    <w:tmpl w:val="D116E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B443E78"/>
    <w:multiLevelType w:val="hybridMultilevel"/>
    <w:tmpl w:val="7C5A1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6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34"/>
  </w:num>
  <w:num w:numId="3">
    <w:abstractNumId w:val="27"/>
  </w:num>
  <w:num w:numId="4">
    <w:abstractNumId w:val="28"/>
  </w:num>
  <w:num w:numId="5">
    <w:abstractNumId w:val="19"/>
  </w:num>
  <w:num w:numId="6">
    <w:abstractNumId w:val="30"/>
  </w:num>
  <w:num w:numId="7">
    <w:abstractNumId w:val="45"/>
  </w:num>
  <w:num w:numId="8">
    <w:abstractNumId w:val="21"/>
  </w:num>
  <w:num w:numId="9">
    <w:abstractNumId w:val="63"/>
  </w:num>
  <w:num w:numId="10">
    <w:abstractNumId w:val="25"/>
  </w:num>
  <w:num w:numId="11">
    <w:abstractNumId w:val="51"/>
  </w:num>
  <w:num w:numId="12">
    <w:abstractNumId w:val="40"/>
  </w:num>
  <w:num w:numId="13">
    <w:abstractNumId w:val="66"/>
  </w:num>
  <w:num w:numId="14">
    <w:abstractNumId w:val="23"/>
  </w:num>
  <w:num w:numId="15">
    <w:abstractNumId w:val="17"/>
  </w:num>
  <w:num w:numId="16">
    <w:abstractNumId w:val="60"/>
  </w:num>
  <w:num w:numId="17">
    <w:abstractNumId w:val="14"/>
  </w:num>
  <w:num w:numId="18">
    <w:abstractNumId w:val="52"/>
  </w:num>
  <w:num w:numId="19">
    <w:abstractNumId w:val="8"/>
  </w:num>
  <w:num w:numId="20">
    <w:abstractNumId w:val="44"/>
  </w:num>
  <w:num w:numId="2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9"/>
  </w:num>
  <w:num w:numId="28">
    <w:abstractNumId w:val="36"/>
  </w:num>
  <w:num w:numId="29">
    <w:abstractNumId w:val="56"/>
  </w:num>
  <w:num w:numId="30">
    <w:abstractNumId w:val="46"/>
  </w:num>
  <w:num w:numId="31">
    <w:abstractNumId w:val="6"/>
  </w:num>
  <w:num w:numId="32">
    <w:abstractNumId w:val="4"/>
  </w:num>
  <w:num w:numId="33">
    <w:abstractNumId w:val="10"/>
  </w:num>
  <w:num w:numId="34">
    <w:abstractNumId w:val="5"/>
  </w:num>
  <w:num w:numId="35">
    <w:abstractNumId w:val="24"/>
  </w:num>
  <w:num w:numId="36">
    <w:abstractNumId w:val="47"/>
  </w:num>
  <w:num w:numId="37">
    <w:abstractNumId w:val="58"/>
  </w:num>
  <w:num w:numId="38">
    <w:abstractNumId w:val="32"/>
  </w:num>
  <w:num w:numId="39">
    <w:abstractNumId w:val="42"/>
  </w:num>
  <w:num w:numId="40">
    <w:abstractNumId w:val="31"/>
  </w:num>
  <w:num w:numId="41">
    <w:abstractNumId w:val="1"/>
  </w:num>
  <w:num w:numId="42">
    <w:abstractNumId w:val="26"/>
  </w:num>
  <w:num w:numId="43">
    <w:abstractNumId w:val="2"/>
  </w:num>
  <w:num w:numId="44">
    <w:abstractNumId w:val="2"/>
  </w:num>
  <w:num w:numId="45">
    <w:abstractNumId w:val="37"/>
  </w:num>
  <w:num w:numId="46">
    <w:abstractNumId w:val="15"/>
  </w:num>
  <w:num w:numId="47">
    <w:abstractNumId w:val="18"/>
  </w:num>
  <w:num w:numId="48">
    <w:abstractNumId w:val="12"/>
  </w:num>
  <w:num w:numId="49">
    <w:abstractNumId w:val="35"/>
  </w:num>
  <w:num w:numId="50">
    <w:abstractNumId w:val="3"/>
  </w:num>
  <w:num w:numId="51">
    <w:abstractNumId w:val="0"/>
  </w:num>
  <w:num w:numId="52">
    <w:abstractNumId w:val="50"/>
  </w:num>
  <w:num w:numId="53">
    <w:abstractNumId w:val="11"/>
  </w:num>
  <w:num w:numId="54">
    <w:abstractNumId w:val="7"/>
  </w:num>
  <w:num w:numId="55">
    <w:abstractNumId w:val="54"/>
  </w:num>
  <w:num w:numId="56">
    <w:abstractNumId w:val="64"/>
  </w:num>
  <w:num w:numId="57">
    <w:abstractNumId w:val="62"/>
  </w:num>
  <w:num w:numId="58">
    <w:abstractNumId w:val="57"/>
  </w:num>
  <w:num w:numId="59">
    <w:abstractNumId w:val="65"/>
  </w:num>
  <w:num w:numId="60">
    <w:abstractNumId w:val="53"/>
  </w:num>
  <w:num w:numId="61">
    <w:abstractNumId w:val="39"/>
  </w:num>
  <w:num w:numId="62">
    <w:abstractNumId w:val="33"/>
  </w:num>
  <w:num w:numId="63">
    <w:abstractNumId w:val="16"/>
  </w:num>
  <w:num w:numId="64">
    <w:abstractNumId w:val="29"/>
  </w:num>
  <w:num w:numId="65">
    <w:abstractNumId w:val="43"/>
  </w:num>
  <w:num w:numId="66">
    <w:abstractNumId w:val="48"/>
  </w:num>
  <w:num w:numId="67">
    <w:abstractNumId w:val="20"/>
  </w:num>
  <w:num w:numId="68">
    <w:abstractNumId w:val="38"/>
  </w:num>
  <w:num w:numId="69">
    <w:abstractNumId w:val="59"/>
  </w:num>
  <w:num w:numId="70">
    <w:abstractNumId w:val="13"/>
  </w:num>
  <w:num w:numId="71">
    <w:abstractNumId w:val="41"/>
  </w:num>
  <w:num w:numId="72">
    <w:abstractNumId w:val="49"/>
  </w:num>
  <w:num w:numId="73">
    <w:abstractNumId w:val="61"/>
  </w:num>
  <w:num w:numId="74">
    <w:abstractNumId w:val="55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771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C28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53E9"/>
    <w:rsid w:val="000157EC"/>
    <w:rsid w:val="00015AD4"/>
    <w:rsid w:val="00015D15"/>
    <w:rsid w:val="0001611C"/>
    <w:rsid w:val="0001694D"/>
    <w:rsid w:val="00017074"/>
    <w:rsid w:val="000208E4"/>
    <w:rsid w:val="00021025"/>
    <w:rsid w:val="00021143"/>
    <w:rsid w:val="00021171"/>
    <w:rsid w:val="00022522"/>
    <w:rsid w:val="00022C6C"/>
    <w:rsid w:val="00023233"/>
    <w:rsid w:val="0002360A"/>
    <w:rsid w:val="00023A7A"/>
    <w:rsid w:val="000244A8"/>
    <w:rsid w:val="00024F2F"/>
    <w:rsid w:val="00024FC3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1C00"/>
    <w:rsid w:val="000325B8"/>
    <w:rsid w:val="00032F20"/>
    <w:rsid w:val="00033351"/>
    <w:rsid w:val="0003410A"/>
    <w:rsid w:val="00034B70"/>
    <w:rsid w:val="00034C15"/>
    <w:rsid w:val="000359A3"/>
    <w:rsid w:val="00035EA8"/>
    <w:rsid w:val="00035F74"/>
    <w:rsid w:val="000363B2"/>
    <w:rsid w:val="000369F9"/>
    <w:rsid w:val="00036BA1"/>
    <w:rsid w:val="0003784D"/>
    <w:rsid w:val="00037B91"/>
    <w:rsid w:val="00040254"/>
    <w:rsid w:val="000405A0"/>
    <w:rsid w:val="00040B2C"/>
    <w:rsid w:val="00040B73"/>
    <w:rsid w:val="00040B78"/>
    <w:rsid w:val="00040DE9"/>
    <w:rsid w:val="0004149C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717"/>
    <w:rsid w:val="00050D83"/>
    <w:rsid w:val="00050E2C"/>
    <w:rsid w:val="000511FA"/>
    <w:rsid w:val="00051442"/>
    <w:rsid w:val="00051789"/>
    <w:rsid w:val="0005205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315"/>
    <w:rsid w:val="0005757D"/>
    <w:rsid w:val="000575ED"/>
    <w:rsid w:val="00057649"/>
    <w:rsid w:val="00057CA3"/>
    <w:rsid w:val="000604D2"/>
    <w:rsid w:val="00060E21"/>
    <w:rsid w:val="000616E7"/>
    <w:rsid w:val="00061829"/>
    <w:rsid w:val="0006232B"/>
    <w:rsid w:val="000625C8"/>
    <w:rsid w:val="00063138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A61"/>
    <w:rsid w:val="00070074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415D"/>
    <w:rsid w:val="00074621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B3F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AFA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557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5F62"/>
    <w:rsid w:val="000C60F6"/>
    <w:rsid w:val="000C64E6"/>
    <w:rsid w:val="000C6F9D"/>
    <w:rsid w:val="000D0A64"/>
    <w:rsid w:val="000D0C8F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6CB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6EE4"/>
    <w:rsid w:val="001171D9"/>
    <w:rsid w:val="0011747E"/>
    <w:rsid w:val="00117AE6"/>
    <w:rsid w:val="00117CEA"/>
    <w:rsid w:val="00117D13"/>
    <w:rsid w:val="001203FC"/>
    <w:rsid w:val="001215CA"/>
    <w:rsid w:val="0012169D"/>
    <w:rsid w:val="0012189E"/>
    <w:rsid w:val="001218CE"/>
    <w:rsid w:val="001219F5"/>
    <w:rsid w:val="00121A20"/>
    <w:rsid w:val="00121D09"/>
    <w:rsid w:val="00122174"/>
    <w:rsid w:val="001231EF"/>
    <w:rsid w:val="0012320A"/>
    <w:rsid w:val="00123CA8"/>
    <w:rsid w:val="00123D2C"/>
    <w:rsid w:val="001248FC"/>
    <w:rsid w:val="001252EB"/>
    <w:rsid w:val="00125448"/>
    <w:rsid w:val="00125B92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90F"/>
    <w:rsid w:val="00151E23"/>
    <w:rsid w:val="001523B7"/>
    <w:rsid w:val="001526E0"/>
    <w:rsid w:val="00152A4E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762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A8E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77092"/>
    <w:rsid w:val="0017778A"/>
    <w:rsid w:val="00180304"/>
    <w:rsid w:val="00180B6F"/>
    <w:rsid w:val="0018143F"/>
    <w:rsid w:val="001817F1"/>
    <w:rsid w:val="00181D12"/>
    <w:rsid w:val="00182BB1"/>
    <w:rsid w:val="00182FC6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6E9"/>
    <w:rsid w:val="00185C19"/>
    <w:rsid w:val="00186721"/>
    <w:rsid w:val="00186F7A"/>
    <w:rsid w:val="00187149"/>
    <w:rsid w:val="00187FF9"/>
    <w:rsid w:val="00190959"/>
    <w:rsid w:val="00190AC1"/>
    <w:rsid w:val="00190C2B"/>
    <w:rsid w:val="00191EA1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6869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578"/>
    <w:rsid w:val="001B094C"/>
    <w:rsid w:val="001B0D97"/>
    <w:rsid w:val="001B11BE"/>
    <w:rsid w:val="001B12B7"/>
    <w:rsid w:val="001B14BE"/>
    <w:rsid w:val="001B1523"/>
    <w:rsid w:val="001B1BF4"/>
    <w:rsid w:val="001B1D92"/>
    <w:rsid w:val="001B20C3"/>
    <w:rsid w:val="001B21A6"/>
    <w:rsid w:val="001B22B5"/>
    <w:rsid w:val="001B2992"/>
    <w:rsid w:val="001B2A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508D"/>
    <w:rsid w:val="001C5B0C"/>
    <w:rsid w:val="001C6312"/>
    <w:rsid w:val="001C664F"/>
    <w:rsid w:val="001C7611"/>
    <w:rsid w:val="001C7E29"/>
    <w:rsid w:val="001C7E35"/>
    <w:rsid w:val="001D0064"/>
    <w:rsid w:val="001D0C44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3BD6"/>
    <w:rsid w:val="001D40AF"/>
    <w:rsid w:val="001D40B9"/>
    <w:rsid w:val="001D4CB3"/>
    <w:rsid w:val="001D4EE6"/>
    <w:rsid w:val="001D51BA"/>
    <w:rsid w:val="001D52F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A0"/>
    <w:rsid w:val="001E23E4"/>
    <w:rsid w:val="001E2AD7"/>
    <w:rsid w:val="001E34F2"/>
    <w:rsid w:val="001E3F06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17C2"/>
    <w:rsid w:val="001F2F31"/>
    <w:rsid w:val="001F36C3"/>
    <w:rsid w:val="001F3916"/>
    <w:rsid w:val="001F39C4"/>
    <w:rsid w:val="001F3C3B"/>
    <w:rsid w:val="001F4037"/>
    <w:rsid w:val="001F41A1"/>
    <w:rsid w:val="001F4676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4E4F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EAB"/>
    <w:rsid w:val="00221404"/>
    <w:rsid w:val="00222102"/>
    <w:rsid w:val="002221C0"/>
    <w:rsid w:val="002224DB"/>
    <w:rsid w:val="00222756"/>
    <w:rsid w:val="0022295E"/>
    <w:rsid w:val="0022299A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5A5"/>
    <w:rsid w:val="002536A0"/>
    <w:rsid w:val="002538EB"/>
    <w:rsid w:val="00253EAF"/>
    <w:rsid w:val="00254623"/>
    <w:rsid w:val="00254CA7"/>
    <w:rsid w:val="00255074"/>
    <w:rsid w:val="0025555E"/>
    <w:rsid w:val="00255D36"/>
    <w:rsid w:val="00257543"/>
    <w:rsid w:val="002577E6"/>
    <w:rsid w:val="00257A72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2FFF"/>
    <w:rsid w:val="002637AE"/>
    <w:rsid w:val="00264060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144F"/>
    <w:rsid w:val="00271A63"/>
    <w:rsid w:val="00271F3A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5CEB"/>
    <w:rsid w:val="00276081"/>
    <w:rsid w:val="00276B67"/>
    <w:rsid w:val="00276C29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0BB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5410"/>
    <w:rsid w:val="002955BC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0984"/>
    <w:rsid w:val="002A1733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E43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2CA1"/>
    <w:rsid w:val="002D2DF5"/>
    <w:rsid w:val="002D2DFD"/>
    <w:rsid w:val="002D2E85"/>
    <w:rsid w:val="002D30A3"/>
    <w:rsid w:val="002D34B2"/>
    <w:rsid w:val="002D3B37"/>
    <w:rsid w:val="002D3BE4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B53"/>
    <w:rsid w:val="002E659A"/>
    <w:rsid w:val="002E689B"/>
    <w:rsid w:val="002E7003"/>
    <w:rsid w:val="002E7CAE"/>
    <w:rsid w:val="002E7F8F"/>
    <w:rsid w:val="002F07A4"/>
    <w:rsid w:val="002F10D2"/>
    <w:rsid w:val="002F1BD8"/>
    <w:rsid w:val="002F2771"/>
    <w:rsid w:val="002F289F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A7F"/>
    <w:rsid w:val="003114AF"/>
    <w:rsid w:val="00311702"/>
    <w:rsid w:val="00311E82"/>
    <w:rsid w:val="003124BA"/>
    <w:rsid w:val="00312525"/>
    <w:rsid w:val="00312B75"/>
    <w:rsid w:val="00312C0A"/>
    <w:rsid w:val="00313534"/>
    <w:rsid w:val="00313BB8"/>
    <w:rsid w:val="00313BF3"/>
    <w:rsid w:val="00313FD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135"/>
    <w:rsid w:val="003242DD"/>
    <w:rsid w:val="00324AA1"/>
    <w:rsid w:val="00324D23"/>
    <w:rsid w:val="00325067"/>
    <w:rsid w:val="00325768"/>
    <w:rsid w:val="00325884"/>
    <w:rsid w:val="003258F0"/>
    <w:rsid w:val="00325F35"/>
    <w:rsid w:val="003260A9"/>
    <w:rsid w:val="003273A2"/>
    <w:rsid w:val="003275BE"/>
    <w:rsid w:val="0032763E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5789"/>
    <w:rsid w:val="00346527"/>
    <w:rsid w:val="003469D5"/>
    <w:rsid w:val="00346DB5"/>
    <w:rsid w:val="00347574"/>
    <w:rsid w:val="003477B1"/>
    <w:rsid w:val="003479F3"/>
    <w:rsid w:val="00347DB6"/>
    <w:rsid w:val="00347DD5"/>
    <w:rsid w:val="00347E7F"/>
    <w:rsid w:val="0035020E"/>
    <w:rsid w:val="00350326"/>
    <w:rsid w:val="0035065C"/>
    <w:rsid w:val="003507E3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0DB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2577"/>
    <w:rsid w:val="00372AAF"/>
    <w:rsid w:val="0037369F"/>
    <w:rsid w:val="00373969"/>
    <w:rsid w:val="00373CD5"/>
    <w:rsid w:val="00373F21"/>
    <w:rsid w:val="003742AC"/>
    <w:rsid w:val="003744CE"/>
    <w:rsid w:val="00374F8B"/>
    <w:rsid w:val="00375331"/>
    <w:rsid w:val="00375719"/>
    <w:rsid w:val="00375955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F84"/>
    <w:rsid w:val="003821E2"/>
    <w:rsid w:val="00383467"/>
    <w:rsid w:val="00383E50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61C1"/>
    <w:rsid w:val="00386578"/>
    <w:rsid w:val="00386747"/>
    <w:rsid w:val="00387E14"/>
    <w:rsid w:val="00390389"/>
    <w:rsid w:val="00390D95"/>
    <w:rsid w:val="00390FFE"/>
    <w:rsid w:val="003913DB"/>
    <w:rsid w:val="00391638"/>
    <w:rsid w:val="003918D0"/>
    <w:rsid w:val="00391F23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DB3"/>
    <w:rsid w:val="003B40D9"/>
    <w:rsid w:val="003B4971"/>
    <w:rsid w:val="003B4C05"/>
    <w:rsid w:val="003B4EB4"/>
    <w:rsid w:val="003B53CC"/>
    <w:rsid w:val="003B5D97"/>
    <w:rsid w:val="003B68DC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CA4"/>
    <w:rsid w:val="003C1DEB"/>
    <w:rsid w:val="003C22BF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1F8"/>
    <w:rsid w:val="003C733E"/>
    <w:rsid w:val="003C7806"/>
    <w:rsid w:val="003D016D"/>
    <w:rsid w:val="003D109F"/>
    <w:rsid w:val="003D18E8"/>
    <w:rsid w:val="003D2478"/>
    <w:rsid w:val="003D290E"/>
    <w:rsid w:val="003D2D0C"/>
    <w:rsid w:val="003D2E03"/>
    <w:rsid w:val="003D334A"/>
    <w:rsid w:val="003D373A"/>
    <w:rsid w:val="003D37DB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66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58A"/>
    <w:rsid w:val="003F1C4C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674"/>
    <w:rsid w:val="003F77C3"/>
    <w:rsid w:val="003F7E23"/>
    <w:rsid w:val="004000E8"/>
    <w:rsid w:val="004008B0"/>
    <w:rsid w:val="00401B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18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1DD2"/>
    <w:rsid w:val="00412407"/>
    <w:rsid w:val="0041258E"/>
    <w:rsid w:val="0041263E"/>
    <w:rsid w:val="00412B06"/>
    <w:rsid w:val="0041384A"/>
    <w:rsid w:val="00413AAC"/>
    <w:rsid w:val="00413BF5"/>
    <w:rsid w:val="00414AB1"/>
    <w:rsid w:val="00414C64"/>
    <w:rsid w:val="00415E8A"/>
    <w:rsid w:val="00416DDF"/>
    <w:rsid w:val="00416EC3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4E3C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27DC"/>
    <w:rsid w:val="00442A5F"/>
    <w:rsid w:val="00442CFD"/>
    <w:rsid w:val="0044337A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2AC"/>
    <w:rsid w:val="00462C36"/>
    <w:rsid w:val="00462D8F"/>
    <w:rsid w:val="00463615"/>
    <w:rsid w:val="0046371D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271B"/>
    <w:rsid w:val="00472A89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6ED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3A59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A69"/>
    <w:rsid w:val="004A4A51"/>
    <w:rsid w:val="004A4D1E"/>
    <w:rsid w:val="004A5256"/>
    <w:rsid w:val="004A574C"/>
    <w:rsid w:val="004A614C"/>
    <w:rsid w:val="004A6776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DBA"/>
    <w:rsid w:val="004B3FDA"/>
    <w:rsid w:val="004B4459"/>
    <w:rsid w:val="004B44CE"/>
    <w:rsid w:val="004B4593"/>
    <w:rsid w:val="004B5D51"/>
    <w:rsid w:val="004B74E1"/>
    <w:rsid w:val="004B7C0C"/>
    <w:rsid w:val="004C0177"/>
    <w:rsid w:val="004C0225"/>
    <w:rsid w:val="004C0483"/>
    <w:rsid w:val="004C0C9D"/>
    <w:rsid w:val="004C1260"/>
    <w:rsid w:val="004C14E7"/>
    <w:rsid w:val="004C1E01"/>
    <w:rsid w:val="004C23B1"/>
    <w:rsid w:val="004C23BA"/>
    <w:rsid w:val="004C2530"/>
    <w:rsid w:val="004C2B95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4A35"/>
    <w:rsid w:val="004D51F7"/>
    <w:rsid w:val="004D594B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4531"/>
    <w:rsid w:val="00514539"/>
    <w:rsid w:val="005146A4"/>
    <w:rsid w:val="00514FD1"/>
    <w:rsid w:val="005153A7"/>
    <w:rsid w:val="0051689A"/>
    <w:rsid w:val="005173A8"/>
    <w:rsid w:val="0051769E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26C"/>
    <w:rsid w:val="005243A0"/>
    <w:rsid w:val="005251B0"/>
    <w:rsid w:val="00525884"/>
    <w:rsid w:val="00525A40"/>
    <w:rsid w:val="005266DD"/>
    <w:rsid w:val="00527AF5"/>
    <w:rsid w:val="00527D68"/>
    <w:rsid w:val="005301D3"/>
    <w:rsid w:val="00530333"/>
    <w:rsid w:val="00530D7E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DB4"/>
    <w:rsid w:val="00560C31"/>
    <w:rsid w:val="0056121F"/>
    <w:rsid w:val="00562CB4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5FB"/>
    <w:rsid w:val="00565DED"/>
    <w:rsid w:val="00566557"/>
    <w:rsid w:val="0056662E"/>
    <w:rsid w:val="005666FA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CC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5712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40A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13"/>
    <w:rsid w:val="005924A4"/>
    <w:rsid w:val="00592AB0"/>
    <w:rsid w:val="00592B09"/>
    <w:rsid w:val="00593053"/>
    <w:rsid w:val="00593521"/>
    <w:rsid w:val="005935A4"/>
    <w:rsid w:val="00593AE2"/>
    <w:rsid w:val="00593B07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609"/>
    <w:rsid w:val="0059779B"/>
    <w:rsid w:val="00597B77"/>
    <w:rsid w:val="00597CB0"/>
    <w:rsid w:val="005A04F4"/>
    <w:rsid w:val="005A0771"/>
    <w:rsid w:val="005A077B"/>
    <w:rsid w:val="005A08A7"/>
    <w:rsid w:val="005A0942"/>
    <w:rsid w:val="005A0A48"/>
    <w:rsid w:val="005A0DAA"/>
    <w:rsid w:val="005A10ED"/>
    <w:rsid w:val="005A1AB5"/>
    <w:rsid w:val="005A1BCB"/>
    <w:rsid w:val="005A209A"/>
    <w:rsid w:val="005A4053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1D83"/>
    <w:rsid w:val="005B34C7"/>
    <w:rsid w:val="005B35BD"/>
    <w:rsid w:val="005B35D7"/>
    <w:rsid w:val="005B36BF"/>
    <w:rsid w:val="005B392A"/>
    <w:rsid w:val="005B3AA3"/>
    <w:rsid w:val="005B3B9F"/>
    <w:rsid w:val="005B3F4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8E5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34D3"/>
    <w:rsid w:val="005C37F3"/>
    <w:rsid w:val="005C3F85"/>
    <w:rsid w:val="005C42CB"/>
    <w:rsid w:val="005C433B"/>
    <w:rsid w:val="005C4DE9"/>
    <w:rsid w:val="005C61AC"/>
    <w:rsid w:val="005C63F1"/>
    <w:rsid w:val="005C65B6"/>
    <w:rsid w:val="005C6E03"/>
    <w:rsid w:val="005C71A4"/>
    <w:rsid w:val="005C7372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CDC"/>
    <w:rsid w:val="005D6010"/>
    <w:rsid w:val="005D623C"/>
    <w:rsid w:val="005D6301"/>
    <w:rsid w:val="005D6446"/>
    <w:rsid w:val="005D69BE"/>
    <w:rsid w:val="005D6B32"/>
    <w:rsid w:val="005D7271"/>
    <w:rsid w:val="005D770E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2CB1"/>
    <w:rsid w:val="005F2D31"/>
    <w:rsid w:val="005F3E69"/>
    <w:rsid w:val="005F3E78"/>
    <w:rsid w:val="005F40F1"/>
    <w:rsid w:val="005F4108"/>
    <w:rsid w:val="005F4EDE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F2D"/>
    <w:rsid w:val="0060200F"/>
    <w:rsid w:val="0060251F"/>
    <w:rsid w:val="0060283C"/>
    <w:rsid w:val="00602EF6"/>
    <w:rsid w:val="006035D3"/>
    <w:rsid w:val="00603A84"/>
    <w:rsid w:val="00604078"/>
    <w:rsid w:val="0060475A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22C"/>
    <w:rsid w:val="00611AB9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5CE9"/>
    <w:rsid w:val="00616D03"/>
    <w:rsid w:val="00620B97"/>
    <w:rsid w:val="00621140"/>
    <w:rsid w:val="006212DC"/>
    <w:rsid w:val="00621662"/>
    <w:rsid w:val="00621731"/>
    <w:rsid w:val="00621751"/>
    <w:rsid w:val="0062281D"/>
    <w:rsid w:val="00623058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3D8"/>
    <w:rsid w:val="00655733"/>
    <w:rsid w:val="006557C0"/>
    <w:rsid w:val="00655ACD"/>
    <w:rsid w:val="00655CAD"/>
    <w:rsid w:val="00655CF7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29E0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5569"/>
    <w:rsid w:val="0068587B"/>
    <w:rsid w:val="006859E2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DE7"/>
    <w:rsid w:val="00692E40"/>
    <w:rsid w:val="006931AC"/>
    <w:rsid w:val="00693BE3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E39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71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194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26D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6DE"/>
    <w:rsid w:val="00713A02"/>
    <w:rsid w:val="00713CF5"/>
    <w:rsid w:val="007140A8"/>
    <w:rsid w:val="007146F0"/>
    <w:rsid w:val="00714750"/>
    <w:rsid w:val="007148D3"/>
    <w:rsid w:val="00714CFD"/>
    <w:rsid w:val="00715481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787"/>
    <w:rsid w:val="00720CB6"/>
    <w:rsid w:val="00720E70"/>
    <w:rsid w:val="00721E95"/>
    <w:rsid w:val="007223A7"/>
    <w:rsid w:val="007227FA"/>
    <w:rsid w:val="00723001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1066"/>
    <w:rsid w:val="0073190B"/>
    <w:rsid w:val="00731A6F"/>
    <w:rsid w:val="00731F6D"/>
    <w:rsid w:val="00732392"/>
    <w:rsid w:val="00732550"/>
    <w:rsid w:val="00733553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8C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CE2"/>
    <w:rsid w:val="00746EAC"/>
    <w:rsid w:val="007471D5"/>
    <w:rsid w:val="007474A3"/>
    <w:rsid w:val="00747D8B"/>
    <w:rsid w:val="00751228"/>
    <w:rsid w:val="007528CF"/>
    <w:rsid w:val="00752C50"/>
    <w:rsid w:val="007540AD"/>
    <w:rsid w:val="007543CB"/>
    <w:rsid w:val="00755316"/>
    <w:rsid w:val="00755EC7"/>
    <w:rsid w:val="0075672B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088F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526"/>
    <w:rsid w:val="00773A66"/>
    <w:rsid w:val="00773FB6"/>
    <w:rsid w:val="00774331"/>
    <w:rsid w:val="00774BD6"/>
    <w:rsid w:val="00774CC1"/>
    <w:rsid w:val="007750D5"/>
    <w:rsid w:val="007755F2"/>
    <w:rsid w:val="007756F8"/>
    <w:rsid w:val="00775856"/>
    <w:rsid w:val="007758EB"/>
    <w:rsid w:val="00775A76"/>
    <w:rsid w:val="00775C41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72"/>
    <w:rsid w:val="00786ECC"/>
    <w:rsid w:val="00786EF1"/>
    <w:rsid w:val="00787850"/>
    <w:rsid w:val="00791177"/>
    <w:rsid w:val="0079128B"/>
    <w:rsid w:val="00791307"/>
    <w:rsid w:val="00791A2B"/>
    <w:rsid w:val="007925EA"/>
    <w:rsid w:val="00792975"/>
    <w:rsid w:val="007929C8"/>
    <w:rsid w:val="007931DE"/>
    <w:rsid w:val="0079324B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4F1E"/>
    <w:rsid w:val="007957B1"/>
    <w:rsid w:val="00795C73"/>
    <w:rsid w:val="00795C92"/>
    <w:rsid w:val="00796209"/>
    <w:rsid w:val="00797341"/>
    <w:rsid w:val="00797750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67A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65E"/>
    <w:rsid w:val="007D5809"/>
    <w:rsid w:val="007D5901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D6D"/>
    <w:rsid w:val="007E1CEB"/>
    <w:rsid w:val="007E252D"/>
    <w:rsid w:val="007E2A0C"/>
    <w:rsid w:val="007E2FA0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35D6"/>
    <w:rsid w:val="007F3F4A"/>
    <w:rsid w:val="007F4904"/>
    <w:rsid w:val="007F49F7"/>
    <w:rsid w:val="007F4F6C"/>
    <w:rsid w:val="007F56AE"/>
    <w:rsid w:val="007F5988"/>
    <w:rsid w:val="007F5DEB"/>
    <w:rsid w:val="007F786E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5143"/>
    <w:rsid w:val="008052C1"/>
    <w:rsid w:val="008055CB"/>
    <w:rsid w:val="008055DA"/>
    <w:rsid w:val="00805626"/>
    <w:rsid w:val="00805927"/>
    <w:rsid w:val="0080605F"/>
    <w:rsid w:val="00807786"/>
    <w:rsid w:val="008101B0"/>
    <w:rsid w:val="008103DD"/>
    <w:rsid w:val="008115C7"/>
    <w:rsid w:val="00811A61"/>
    <w:rsid w:val="00811D79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47B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213C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E87"/>
    <w:rsid w:val="00831223"/>
    <w:rsid w:val="00831D61"/>
    <w:rsid w:val="0083207E"/>
    <w:rsid w:val="008326C1"/>
    <w:rsid w:val="008328DA"/>
    <w:rsid w:val="0083388B"/>
    <w:rsid w:val="0083391C"/>
    <w:rsid w:val="00833938"/>
    <w:rsid w:val="0083499A"/>
    <w:rsid w:val="00834A19"/>
    <w:rsid w:val="00834C82"/>
    <w:rsid w:val="008351EF"/>
    <w:rsid w:val="0083565C"/>
    <w:rsid w:val="00835837"/>
    <w:rsid w:val="008360D3"/>
    <w:rsid w:val="00836985"/>
    <w:rsid w:val="008376AC"/>
    <w:rsid w:val="0083778B"/>
    <w:rsid w:val="00840984"/>
    <w:rsid w:val="00840B9A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5DE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65D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0A78"/>
    <w:rsid w:val="0086143D"/>
    <w:rsid w:val="00861B66"/>
    <w:rsid w:val="00861D8C"/>
    <w:rsid w:val="0086242F"/>
    <w:rsid w:val="00862563"/>
    <w:rsid w:val="00862B9A"/>
    <w:rsid w:val="00863363"/>
    <w:rsid w:val="00863537"/>
    <w:rsid w:val="008637D7"/>
    <w:rsid w:val="00863AF4"/>
    <w:rsid w:val="00863C5D"/>
    <w:rsid w:val="00863D0C"/>
    <w:rsid w:val="00863D38"/>
    <w:rsid w:val="0086425C"/>
    <w:rsid w:val="00864288"/>
    <w:rsid w:val="00864588"/>
    <w:rsid w:val="00864DC3"/>
    <w:rsid w:val="00865DBC"/>
    <w:rsid w:val="00865F3B"/>
    <w:rsid w:val="0086607D"/>
    <w:rsid w:val="008661D4"/>
    <w:rsid w:val="008669E1"/>
    <w:rsid w:val="00866E1D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3A6"/>
    <w:rsid w:val="00880FCF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4D5"/>
    <w:rsid w:val="008C2F00"/>
    <w:rsid w:val="008C31C0"/>
    <w:rsid w:val="008C3A3B"/>
    <w:rsid w:val="008C3D46"/>
    <w:rsid w:val="008C4362"/>
    <w:rsid w:val="008C4589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D1A"/>
    <w:rsid w:val="008D708C"/>
    <w:rsid w:val="008D74F1"/>
    <w:rsid w:val="008D7AD4"/>
    <w:rsid w:val="008E0732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EF8"/>
    <w:rsid w:val="009132C6"/>
    <w:rsid w:val="0091386C"/>
    <w:rsid w:val="009139D9"/>
    <w:rsid w:val="00913A43"/>
    <w:rsid w:val="00913C79"/>
    <w:rsid w:val="00913D1A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1FD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37473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6A8D"/>
    <w:rsid w:val="009572D4"/>
    <w:rsid w:val="00960BD3"/>
    <w:rsid w:val="00960C06"/>
    <w:rsid w:val="00961481"/>
    <w:rsid w:val="009615FF"/>
    <w:rsid w:val="00961921"/>
    <w:rsid w:val="0096240B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D06"/>
    <w:rsid w:val="00975EF4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9C6"/>
    <w:rsid w:val="00986B3C"/>
    <w:rsid w:val="00986DC7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BDC"/>
    <w:rsid w:val="009970DD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3A7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202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A9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2EF"/>
    <w:rsid w:val="009C6698"/>
    <w:rsid w:val="009C742A"/>
    <w:rsid w:val="009C78AC"/>
    <w:rsid w:val="009D111B"/>
    <w:rsid w:val="009D1829"/>
    <w:rsid w:val="009D1AC3"/>
    <w:rsid w:val="009D2044"/>
    <w:rsid w:val="009D27B8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076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35DB"/>
    <w:rsid w:val="009E37F3"/>
    <w:rsid w:val="009E3889"/>
    <w:rsid w:val="009E3F28"/>
    <w:rsid w:val="009E4004"/>
    <w:rsid w:val="009E42DF"/>
    <w:rsid w:val="009E47A3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39D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DE4"/>
    <w:rsid w:val="00A13E54"/>
    <w:rsid w:val="00A1420D"/>
    <w:rsid w:val="00A144B1"/>
    <w:rsid w:val="00A147FB"/>
    <w:rsid w:val="00A149B8"/>
    <w:rsid w:val="00A15233"/>
    <w:rsid w:val="00A15385"/>
    <w:rsid w:val="00A1585F"/>
    <w:rsid w:val="00A161A4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1BBD"/>
    <w:rsid w:val="00A22538"/>
    <w:rsid w:val="00A229BF"/>
    <w:rsid w:val="00A22EE1"/>
    <w:rsid w:val="00A2307A"/>
    <w:rsid w:val="00A2351A"/>
    <w:rsid w:val="00A23934"/>
    <w:rsid w:val="00A23DFC"/>
    <w:rsid w:val="00A23F25"/>
    <w:rsid w:val="00A24349"/>
    <w:rsid w:val="00A24422"/>
    <w:rsid w:val="00A2451A"/>
    <w:rsid w:val="00A2486D"/>
    <w:rsid w:val="00A24EAC"/>
    <w:rsid w:val="00A24EEA"/>
    <w:rsid w:val="00A253A7"/>
    <w:rsid w:val="00A264A9"/>
    <w:rsid w:val="00A2663B"/>
    <w:rsid w:val="00A26849"/>
    <w:rsid w:val="00A269B0"/>
    <w:rsid w:val="00A27597"/>
    <w:rsid w:val="00A27785"/>
    <w:rsid w:val="00A30187"/>
    <w:rsid w:val="00A30C0E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CD6"/>
    <w:rsid w:val="00A37E7B"/>
    <w:rsid w:val="00A408D4"/>
    <w:rsid w:val="00A4099A"/>
    <w:rsid w:val="00A40DD4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53A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E3E"/>
    <w:rsid w:val="00A52F16"/>
    <w:rsid w:val="00A5307E"/>
    <w:rsid w:val="00A5341A"/>
    <w:rsid w:val="00A5412B"/>
    <w:rsid w:val="00A54350"/>
    <w:rsid w:val="00A545D0"/>
    <w:rsid w:val="00A55EE6"/>
    <w:rsid w:val="00A56674"/>
    <w:rsid w:val="00A56A4B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748"/>
    <w:rsid w:val="00A81B91"/>
    <w:rsid w:val="00A81D0F"/>
    <w:rsid w:val="00A82369"/>
    <w:rsid w:val="00A83A19"/>
    <w:rsid w:val="00A83ACD"/>
    <w:rsid w:val="00A83B47"/>
    <w:rsid w:val="00A8445F"/>
    <w:rsid w:val="00A8502D"/>
    <w:rsid w:val="00A852ED"/>
    <w:rsid w:val="00A8531C"/>
    <w:rsid w:val="00A8588F"/>
    <w:rsid w:val="00A85A38"/>
    <w:rsid w:val="00A85D63"/>
    <w:rsid w:val="00A861C1"/>
    <w:rsid w:val="00A865BE"/>
    <w:rsid w:val="00A8722D"/>
    <w:rsid w:val="00A877A9"/>
    <w:rsid w:val="00A877E1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455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0E9"/>
    <w:rsid w:val="00AA446F"/>
    <w:rsid w:val="00AA4766"/>
    <w:rsid w:val="00AA497E"/>
    <w:rsid w:val="00AA4FF2"/>
    <w:rsid w:val="00AA51D6"/>
    <w:rsid w:val="00AA548E"/>
    <w:rsid w:val="00AA5D17"/>
    <w:rsid w:val="00AA5D4F"/>
    <w:rsid w:val="00AA5F8B"/>
    <w:rsid w:val="00AA76CD"/>
    <w:rsid w:val="00AA7BE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3137"/>
    <w:rsid w:val="00AB3B29"/>
    <w:rsid w:val="00AB4AB8"/>
    <w:rsid w:val="00AB4BAA"/>
    <w:rsid w:val="00AB508B"/>
    <w:rsid w:val="00AB5469"/>
    <w:rsid w:val="00AB5A12"/>
    <w:rsid w:val="00AB5E16"/>
    <w:rsid w:val="00AB655E"/>
    <w:rsid w:val="00AB693B"/>
    <w:rsid w:val="00AB69AC"/>
    <w:rsid w:val="00AB6EAE"/>
    <w:rsid w:val="00AB768B"/>
    <w:rsid w:val="00AB7DA2"/>
    <w:rsid w:val="00AC007F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EC3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245C"/>
    <w:rsid w:val="00AE27AC"/>
    <w:rsid w:val="00AE34E7"/>
    <w:rsid w:val="00AE360D"/>
    <w:rsid w:val="00AE3706"/>
    <w:rsid w:val="00AE39D2"/>
    <w:rsid w:val="00AE3D3C"/>
    <w:rsid w:val="00AE3E4C"/>
    <w:rsid w:val="00AE3FA0"/>
    <w:rsid w:val="00AE40E0"/>
    <w:rsid w:val="00AE437D"/>
    <w:rsid w:val="00AE46E0"/>
    <w:rsid w:val="00AE4DBA"/>
    <w:rsid w:val="00AE4F07"/>
    <w:rsid w:val="00AE5783"/>
    <w:rsid w:val="00AE71F0"/>
    <w:rsid w:val="00AE7257"/>
    <w:rsid w:val="00AE7707"/>
    <w:rsid w:val="00AE7DEB"/>
    <w:rsid w:val="00AF0F60"/>
    <w:rsid w:val="00AF1C5D"/>
    <w:rsid w:val="00AF1E22"/>
    <w:rsid w:val="00AF271A"/>
    <w:rsid w:val="00AF2A94"/>
    <w:rsid w:val="00AF2FCD"/>
    <w:rsid w:val="00AF306C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AA9"/>
    <w:rsid w:val="00B02D93"/>
    <w:rsid w:val="00B02FA3"/>
    <w:rsid w:val="00B03281"/>
    <w:rsid w:val="00B04308"/>
    <w:rsid w:val="00B05084"/>
    <w:rsid w:val="00B066D0"/>
    <w:rsid w:val="00B07444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32FF"/>
    <w:rsid w:val="00B13EBB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2CAE"/>
    <w:rsid w:val="00B231A3"/>
    <w:rsid w:val="00B2327E"/>
    <w:rsid w:val="00B23473"/>
    <w:rsid w:val="00B23755"/>
    <w:rsid w:val="00B23D38"/>
    <w:rsid w:val="00B2409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1C4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2BEF"/>
    <w:rsid w:val="00B63658"/>
    <w:rsid w:val="00B63B96"/>
    <w:rsid w:val="00B63CEF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916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70DC"/>
    <w:rsid w:val="00B777BA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BDB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94"/>
    <w:rsid w:val="00B94CF9"/>
    <w:rsid w:val="00B951FE"/>
    <w:rsid w:val="00B9569C"/>
    <w:rsid w:val="00B95811"/>
    <w:rsid w:val="00B95DF2"/>
    <w:rsid w:val="00B95EE9"/>
    <w:rsid w:val="00B96A94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48A"/>
    <w:rsid w:val="00BA1C53"/>
    <w:rsid w:val="00BA1EFD"/>
    <w:rsid w:val="00BA20C5"/>
    <w:rsid w:val="00BA2280"/>
    <w:rsid w:val="00BA24E3"/>
    <w:rsid w:val="00BA28C0"/>
    <w:rsid w:val="00BA2A08"/>
    <w:rsid w:val="00BA33E1"/>
    <w:rsid w:val="00BA4561"/>
    <w:rsid w:val="00BA4E8B"/>
    <w:rsid w:val="00BA5484"/>
    <w:rsid w:val="00BA56D2"/>
    <w:rsid w:val="00BA5887"/>
    <w:rsid w:val="00BA58F5"/>
    <w:rsid w:val="00BA5959"/>
    <w:rsid w:val="00BA5C90"/>
    <w:rsid w:val="00BA5FF2"/>
    <w:rsid w:val="00BA70BB"/>
    <w:rsid w:val="00BA7424"/>
    <w:rsid w:val="00BA76E0"/>
    <w:rsid w:val="00BB0A24"/>
    <w:rsid w:val="00BB0DE4"/>
    <w:rsid w:val="00BB0EDF"/>
    <w:rsid w:val="00BB1463"/>
    <w:rsid w:val="00BB171F"/>
    <w:rsid w:val="00BB1B23"/>
    <w:rsid w:val="00BB21B4"/>
    <w:rsid w:val="00BB25C0"/>
    <w:rsid w:val="00BB2863"/>
    <w:rsid w:val="00BB2A25"/>
    <w:rsid w:val="00BB2B8E"/>
    <w:rsid w:val="00BB2BED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D2E"/>
    <w:rsid w:val="00BC4E54"/>
    <w:rsid w:val="00BC6BDD"/>
    <w:rsid w:val="00BC74D1"/>
    <w:rsid w:val="00BD0073"/>
    <w:rsid w:val="00BD026A"/>
    <w:rsid w:val="00BD0C44"/>
    <w:rsid w:val="00BD2423"/>
    <w:rsid w:val="00BD2861"/>
    <w:rsid w:val="00BD4448"/>
    <w:rsid w:val="00BD48AC"/>
    <w:rsid w:val="00BD4AE4"/>
    <w:rsid w:val="00BD4BE8"/>
    <w:rsid w:val="00BD4FC6"/>
    <w:rsid w:val="00BD55BA"/>
    <w:rsid w:val="00BD5762"/>
    <w:rsid w:val="00BD5F1A"/>
    <w:rsid w:val="00BD6A71"/>
    <w:rsid w:val="00BD7A8B"/>
    <w:rsid w:val="00BD7AFB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8A0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1103"/>
    <w:rsid w:val="00C11633"/>
    <w:rsid w:val="00C11E79"/>
    <w:rsid w:val="00C11EEB"/>
    <w:rsid w:val="00C12107"/>
    <w:rsid w:val="00C13962"/>
    <w:rsid w:val="00C14011"/>
    <w:rsid w:val="00C14D4B"/>
    <w:rsid w:val="00C154BB"/>
    <w:rsid w:val="00C15C00"/>
    <w:rsid w:val="00C15D1A"/>
    <w:rsid w:val="00C1608A"/>
    <w:rsid w:val="00C16757"/>
    <w:rsid w:val="00C16D21"/>
    <w:rsid w:val="00C17316"/>
    <w:rsid w:val="00C20008"/>
    <w:rsid w:val="00C2242D"/>
    <w:rsid w:val="00C226CD"/>
    <w:rsid w:val="00C22A66"/>
    <w:rsid w:val="00C22D4C"/>
    <w:rsid w:val="00C2338A"/>
    <w:rsid w:val="00C235E6"/>
    <w:rsid w:val="00C23EAD"/>
    <w:rsid w:val="00C24AA4"/>
    <w:rsid w:val="00C24D21"/>
    <w:rsid w:val="00C251A1"/>
    <w:rsid w:val="00C256C6"/>
    <w:rsid w:val="00C26007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ACE"/>
    <w:rsid w:val="00C33FE6"/>
    <w:rsid w:val="00C34163"/>
    <w:rsid w:val="00C3443D"/>
    <w:rsid w:val="00C34465"/>
    <w:rsid w:val="00C348D9"/>
    <w:rsid w:val="00C34BA3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336B"/>
    <w:rsid w:val="00C437A8"/>
    <w:rsid w:val="00C43A6C"/>
    <w:rsid w:val="00C43F25"/>
    <w:rsid w:val="00C43FCC"/>
    <w:rsid w:val="00C44972"/>
    <w:rsid w:val="00C4501A"/>
    <w:rsid w:val="00C45739"/>
    <w:rsid w:val="00C45ACF"/>
    <w:rsid w:val="00C45F08"/>
    <w:rsid w:val="00C463DA"/>
    <w:rsid w:val="00C46B7B"/>
    <w:rsid w:val="00C46BC0"/>
    <w:rsid w:val="00C4704B"/>
    <w:rsid w:val="00C500B5"/>
    <w:rsid w:val="00C5010D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8008F"/>
    <w:rsid w:val="00C8085D"/>
    <w:rsid w:val="00C810C3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243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094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E1C"/>
    <w:rsid w:val="00CC2384"/>
    <w:rsid w:val="00CC2A50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37F"/>
    <w:rsid w:val="00CC66FA"/>
    <w:rsid w:val="00CC67A1"/>
    <w:rsid w:val="00CC71A0"/>
    <w:rsid w:val="00CC73CC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39A4"/>
    <w:rsid w:val="00CD40DC"/>
    <w:rsid w:val="00CD4CD9"/>
    <w:rsid w:val="00CD55A5"/>
    <w:rsid w:val="00CD5E1A"/>
    <w:rsid w:val="00CD63B2"/>
    <w:rsid w:val="00CD652C"/>
    <w:rsid w:val="00CD6B8F"/>
    <w:rsid w:val="00CD6CA5"/>
    <w:rsid w:val="00CD6DED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41EA"/>
    <w:rsid w:val="00CE4955"/>
    <w:rsid w:val="00CE4A12"/>
    <w:rsid w:val="00CE4B16"/>
    <w:rsid w:val="00CE4CDB"/>
    <w:rsid w:val="00CE536E"/>
    <w:rsid w:val="00CE56A9"/>
    <w:rsid w:val="00CE59DC"/>
    <w:rsid w:val="00CE5B18"/>
    <w:rsid w:val="00CE5EBF"/>
    <w:rsid w:val="00CE6233"/>
    <w:rsid w:val="00CE7561"/>
    <w:rsid w:val="00CE75E3"/>
    <w:rsid w:val="00CE7811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D00795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0C68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2DC9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BE2"/>
    <w:rsid w:val="00D27DA6"/>
    <w:rsid w:val="00D301EC"/>
    <w:rsid w:val="00D30F00"/>
    <w:rsid w:val="00D3110B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239"/>
    <w:rsid w:val="00D5757C"/>
    <w:rsid w:val="00D576CA"/>
    <w:rsid w:val="00D57947"/>
    <w:rsid w:val="00D57D14"/>
    <w:rsid w:val="00D57FA3"/>
    <w:rsid w:val="00D61AF5"/>
    <w:rsid w:val="00D61E32"/>
    <w:rsid w:val="00D62095"/>
    <w:rsid w:val="00D6231E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4D5"/>
    <w:rsid w:val="00D708B0"/>
    <w:rsid w:val="00D70A6F"/>
    <w:rsid w:val="00D70EE7"/>
    <w:rsid w:val="00D713FD"/>
    <w:rsid w:val="00D7149A"/>
    <w:rsid w:val="00D71525"/>
    <w:rsid w:val="00D71C2E"/>
    <w:rsid w:val="00D72120"/>
    <w:rsid w:val="00D721C5"/>
    <w:rsid w:val="00D722DE"/>
    <w:rsid w:val="00D732EC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16A"/>
    <w:rsid w:val="00D9383B"/>
    <w:rsid w:val="00D9396B"/>
    <w:rsid w:val="00D94C2B"/>
    <w:rsid w:val="00D9537D"/>
    <w:rsid w:val="00D95A1E"/>
    <w:rsid w:val="00D9613D"/>
    <w:rsid w:val="00D96D18"/>
    <w:rsid w:val="00D9704D"/>
    <w:rsid w:val="00D977E9"/>
    <w:rsid w:val="00D97B8A"/>
    <w:rsid w:val="00DA0017"/>
    <w:rsid w:val="00DA0B7E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C41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B7E01"/>
    <w:rsid w:val="00DC0BB6"/>
    <w:rsid w:val="00DC112E"/>
    <w:rsid w:val="00DC1234"/>
    <w:rsid w:val="00DC15DB"/>
    <w:rsid w:val="00DC1975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5EF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BF0"/>
    <w:rsid w:val="00DE34CF"/>
    <w:rsid w:val="00DE3510"/>
    <w:rsid w:val="00DE3EF6"/>
    <w:rsid w:val="00DE48BD"/>
    <w:rsid w:val="00DE48F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3DF1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4D9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592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CA8"/>
    <w:rsid w:val="00E250C0"/>
    <w:rsid w:val="00E25DE2"/>
    <w:rsid w:val="00E26629"/>
    <w:rsid w:val="00E266B7"/>
    <w:rsid w:val="00E271A1"/>
    <w:rsid w:val="00E27883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8C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0EBB"/>
    <w:rsid w:val="00E410E5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839"/>
    <w:rsid w:val="00E54E3B"/>
    <w:rsid w:val="00E54E74"/>
    <w:rsid w:val="00E55B56"/>
    <w:rsid w:val="00E55BAF"/>
    <w:rsid w:val="00E55C28"/>
    <w:rsid w:val="00E55CAE"/>
    <w:rsid w:val="00E5616D"/>
    <w:rsid w:val="00E570AD"/>
    <w:rsid w:val="00E57565"/>
    <w:rsid w:val="00E579A7"/>
    <w:rsid w:val="00E6088A"/>
    <w:rsid w:val="00E60943"/>
    <w:rsid w:val="00E60CDC"/>
    <w:rsid w:val="00E61B94"/>
    <w:rsid w:val="00E620AB"/>
    <w:rsid w:val="00E622FB"/>
    <w:rsid w:val="00E62374"/>
    <w:rsid w:val="00E62589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56E"/>
    <w:rsid w:val="00E66A77"/>
    <w:rsid w:val="00E66A97"/>
    <w:rsid w:val="00E66FDF"/>
    <w:rsid w:val="00E673B6"/>
    <w:rsid w:val="00E67C51"/>
    <w:rsid w:val="00E67D01"/>
    <w:rsid w:val="00E67DF0"/>
    <w:rsid w:val="00E67E5D"/>
    <w:rsid w:val="00E67ED7"/>
    <w:rsid w:val="00E67F2F"/>
    <w:rsid w:val="00E703CA"/>
    <w:rsid w:val="00E7099B"/>
    <w:rsid w:val="00E70BED"/>
    <w:rsid w:val="00E70D60"/>
    <w:rsid w:val="00E71098"/>
    <w:rsid w:val="00E71515"/>
    <w:rsid w:val="00E71A10"/>
    <w:rsid w:val="00E71B86"/>
    <w:rsid w:val="00E72D68"/>
    <w:rsid w:val="00E72E95"/>
    <w:rsid w:val="00E72EFC"/>
    <w:rsid w:val="00E73234"/>
    <w:rsid w:val="00E741CC"/>
    <w:rsid w:val="00E7489F"/>
    <w:rsid w:val="00E749C9"/>
    <w:rsid w:val="00E74F05"/>
    <w:rsid w:val="00E752E3"/>
    <w:rsid w:val="00E758EC"/>
    <w:rsid w:val="00E75B4D"/>
    <w:rsid w:val="00E75D5F"/>
    <w:rsid w:val="00E76421"/>
    <w:rsid w:val="00E76D93"/>
    <w:rsid w:val="00E7776E"/>
    <w:rsid w:val="00E77CE1"/>
    <w:rsid w:val="00E80470"/>
    <w:rsid w:val="00E80928"/>
    <w:rsid w:val="00E80F82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37A6"/>
    <w:rsid w:val="00E938CE"/>
    <w:rsid w:val="00E93D7F"/>
    <w:rsid w:val="00E93FFE"/>
    <w:rsid w:val="00E94E34"/>
    <w:rsid w:val="00E94F8A"/>
    <w:rsid w:val="00E9533A"/>
    <w:rsid w:val="00E9603D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4F8"/>
    <w:rsid w:val="00EB0523"/>
    <w:rsid w:val="00EB077B"/>
    <w:rsid w:val="00EB0A8D"/>
    <w:rsid w:val="00EB0D24"/>
    <w:rsid w:val="00EB15E6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A6C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D00DD"/>
    <w:rsid w:val="00ED076C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F98"/>
    <w:rsid w:val="00EE209A"/>
    <w:rsid w:val="00EE280C"/>
    <w:rsid w:val="00EE2897"/>
    <w:rsid w:val="00EE28F5"/>
    <w:rsid w:val="00EE2980"/>
    <w:rsid w:val="00EE35AB"/>
    <w:rsid w:val="00EE4D1A"/>
    <w:rsid w:val="00EE6B5A"/>
    <w:rsid w:val="00EE6C99"/>
    <w:rsid w:val="00EE6F03"/>
    <w:rsid w:val="00EE7AE3"/>
    <w:rsid w:val="00EE7CE1"/>
    <w:rsid w:val="00EF00FF"/>
    <w:rsid w:val="00EF0F87"/>
    <w:rsid w:val="00EF0FF5"/>
    <w:rsid w:val="00EF1080"/>
    <w:rsid w:val="00EF18FE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BE2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77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37D40"/>
    <w:rsid w:val="00F406D1"/>
    <w:rsid w:val="00F41114"/>
    <w:rsid w:val="00F411BE"/>
    <w:rsid w:val="00F413CC"/>
    <w:rsid w:val="00F41422"/>
    <w:rsid w:val="00F424BA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46C"/>
    <w:rsid w:val="00F73595"/>
    <w:rsid w:val="00F745E4"/>
    <w:rsid w:val="00F74604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29B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55F8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480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E5B"/>
    <w:rsid w:val="00FA706F"/>
    <w:rsid w:val="00FA7109"/>
    <w:rsid w:val="00FA7578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2AF9"/>
    <w:rsid w:val="00FB3344"/>
    <w:rsid w:val="00FB3775"/>
    <w:rsid w:val="00FB3CA6"/>
    <w:rsid w:val="00FB4021"/>
    <w:rsid w:val="00FB413D"/>
    <w:rsid w:val="00FB4B2C"/>
    <w:rsid w:val="00FB4C80"/>
    <w:rsid w:val="00FB5017"/>
    <w:rsid w:val="00FB58C7"/>
    <w:rsid w:val="00FB5944"/>
    <w:rsid w:val="00FB5AE1"/>
    <w:rsid w:val="00FB6087"/>
    <w:rsid w:val="00FB61E1"/>
    <w:rsid w:val="00FB679F"/>
    <w:rsid w:val="00FB6BA8"/>
    <w:rsid w:val="00FB70CC"/>
    <w:rsid w:val="00FB7389"/>
    <w:rsid w:val="00FC0C8C"/>
    <w:rsid w:val="00FC10F7"/>
    <w:rsid w:val="00FC186B"/>
    <w:rsid w:val="00FC1DCB"/>
    <w:rsid w:val="00FC2019"/>
    <w:rsid w:val="00FC24E7"/>
    <w:rsid w:val="00FC2E17"/>
    <w:rsid w:val="00FC3355"/>
    <w:rsid w:val="00FC35B9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0F50"/>
    <w:rsid w:val="00FD1872"/>
    <w:rsid w:val="00FD1EC8"/>
    <w:rsid w:val="00FD2254"/>
    <w:rsid w:val="00FD2E88"/>
    <w:rsid w:val="00FD3055"/>
    <w:rsid w:val="00FD372A"/>
    <w:rsid w:val="00FD3B87"/>
    <w:rsid w:val="00FD4578"/>
    <w:rsid w:val="00FD4686"/>
    <w:rsid w:val="00FD47ED"/>
    <w:rsid w:val="00FD4ADE"/>
    <w:rsid w:val="00FD4EA4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F53"/>
    <w:rsid w:val="00FE220A"/>
    <w:rsid w:val="00FE2365"/>
    <w:rsid w:val="00FE2EB6"/>
    <w:rsid w:val="00FE2FEA"/>
    <w:rsid w:val="00FE32C1"/>
    <w:rsid w:val="00FE37D0"/>
    <w:rsid w:val="00FE389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EE"/>
    <w:rsid w:val="00FF0AFB"/>
    <w:rsid w:val="00FF10FD"/>
    <w:rsid w:val="00FF1264"/>
    <w:rsid w:val="00FF1F6E"/>
    <w:rsid w:val="00FF2C3B"/>
    <w:rsid w:val="00FF2FE3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6BE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06B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6BE2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link w:val="Proposal0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qFormat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qFormat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/>
      <w:szCs w:val="24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/>
      <w:szCs w:val="24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3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5F3E69"/>
  </w:style>
  <w:style w:type="character" w:customStyle="1" w:styleId="Proposal0">
    <w:name w:val="Proposal (文字)"/>
    <w:link w:val="Proposal"/>
    <w:qFormat/>
    <w:rsid w:val="00116EE4"/>
    <w:rPr>
      <w:rFonts w:asciiTheme="minorHAnsi" w:eastAsiaTheme="minorEastAsia" w:hAnsiTheme="minorHAnsi" w:cstheme="minorBidi"/>
      <w:b/>
      <w:bCs/>
      <w:sz w:val="22"/>
      <w:szCs w:val="22"/>
      <w:lang w:val="en-US" w:eastAsia="ko-KR"/>
    </w:rPr>
  </w:style>
  <w:style w:type="paragraph" w:styleId="PlainText">
    <w:name w:val="Plain Text"/>
    <w:basedOn w:val="Normal"/>
    <w:link w:val="PlainTextChar"/>
    <w:unhideWhenUsed/>
    <w:qFormat/>
    <w:rsid w:val="00116EE4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116EE4"/>
    <w:rPr>
      <w:rFonts w:ascii="Consolas" w:eastAsia="Calibri" w:hAnsi="Consolas"/>
      <w:sz w:val="21"/>
      <w:szCs w:val="21"/>
      <w:lang w:val="en-US"/>
    </w:rPr>
  </w:style>
  <w:style w:type="paragraph" w:customStyle="1" w:styleId="references">
    <w:name w:val="references"/>
    <w:uiPriority w:val="99"/>
    <w:qFormat/>
    <w:rsid w:val="00116EE4"/>
    <w:pPr>
      <w:numPr>
        <w:numId w:val="71"/>
      </w:numPr>
      <w:spacing w:after="50" w:line="180" w:lineRule="exact"/>
      <w:jc w:val="both"/>
    </w:pPr>
    <w:rPr>
      <w:rFonts w:ascii="Times New Roman" w:eastAsia="MS Mincho" w:hAnsi="Times New Roma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A02079-1A7B-444E-971F-DC4209D778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8F28F56-AA8A-40F7-8725-11FAA3C75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2020-08-06T19:09:00Z</dcterms:created>
  <dcterms:modified xsi:type="dcterms:W3CDTF">2022-04-25T03:56:00Z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